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C80" w14:textId="77777777" w:rsidR="00DD6427" w:rsidRPr="009039ED" w:rsidRDefault="00DD6427" w:rsidP="00DD6427">
      <w:pPr>
        <w:jc w:val="center"/>
        <w:rPr>
          <w:rFonts w:cstheme="minorHAnsi"/>
          <w:b/>
          <w:bCs/>
        </w:rPr>
      </w:pPr>
      <w:r w:rsidRPr="009039ED">
        <w:rPr>
          <w:rFonts w:cstheme="minorHAnsi"/>
          <w:b/>
          <w:bCs/>
        </w:rPr>
        <w:t xml:space="preserve">LEARNER NOTIFICATION </w:t>
      </w:r>
    </w:p>
    <w:p w14:paraId="085A7487" w14:textId="026564C0" w:rsidR="00DD6427" w:rsidRPr="00E312D1" w:rsidRDefault="00DD6427" w:rsidP="00DD6427">
      <w:pPr>
        <w:pStyle w:val="NoSpacing"/>
        <w:rPr>
          <w:rFonts w:cstheme="minorHAnsi"/>
          <w:noProof/>
        </w:rPr>
      </w:pPr>
      <w:r w:rsidRPr="00E312D1">
        <w:rPr>
          <w:rFonts w:cstheme="minorHAnsi"/>
          <w:b/>
          <w:bCs/>
          <w:noProof/>
        </w:rPr>
        <w:t>Society of Cardiovascular Anesthesiologists</w:t>
      </w:r>
    </w:p>
    <w:p w14:paraId="34F26E0C" w14:textId="5F54084C" w:rsidR="00E312D1" w:rsidRPr="00E312D1" w:rsidRDefault="00895DAB" w:rsidP="00E312D1">
      <w:pPr>
        <w:pStyle w:val="NoSpacing"/>
        <w:rPr>
          <w:rFonts w:cstheme="minorHAnsi"/>
        </w:rPr>
      </w:pPr>
      <w:r w:rsidRPr="00E312D1">
        <w:rPr>
          <w:rFonts w:cstheme="minorHAnsi"/>
          <w:b/>
          <w:bCs/>
        </w:rPr>
        <w:t xml:space="preserve">Activity Title: </w:t>
      </w:r>
      <w:r w:rsidR="00177E32">
        <w:rPr>
          <w:rFonts w:cstheme="minorHAnsi"/>
          <w:b/>
          <w:bCs/>
        </w:rPr>
        <w:t xml:space="preserve">Thoracic Anesthesia Symposium and Workshops </w:t>
      </w:r>
      <w:r w:rsidR="00E312D1" w:rsidRPr="00E312D1">
        <w:t xml:space="preserve"> </w:t>
      </w:r>
    </w:p>
    <w:p w14:paraId="5D070850" w14:textId="27E4A0CC" w:rsidR="00FE2733" w:rsidRPr="00E312D1" w:rsidRDefault="00FE2733" w:rsidP="00E312D1">
      <w:pPr>
        <w:pStyle w:val="NoSpacing"/>
      </w:pPr>
      <w:r w:rsidRPr="00E312D1">
        <w:rPr>
          <w:rFonts w:cstheme="minorHAnsi"/>
          <w:b/>
          <w:bCs/>
        </w:rPr>
        <w:t>Date:</w:t>
      </w:r>
      <w:r w:rsidRPr="00E312D1">
        <w:rPr>
          <w:rFonts w:cstheme="minorHAnsi"/>
        </w:rPr>
        <w:t xml:space="preserve"> </w:t>
      </w:r>
      <w:r w:rsidR="00B32314" w:rsidRPr="00177E32">
        <w:rPr>
          <w:rFonts w:cstheme="minorHAnsi"/>
          <w:b/>
          <w:bCs/>
        </w:rPr>
        <w:t>May 5</w:t>
      </w:r>
      <w:r w:rsidR="00D055A1" w:rsidRPr="00177E32">
        <w:rPr>
          <w:rFonts w:cstheme="minorHAnsi"/>
          <w:b/>
          <w:bCs/>
        </w:rPr>
        <w:t xml:space="preserve"> - 6</w:t>
      </w:r>
      <w:r w:rsidR="00B32314" w:rsidRPr="00177E32">
        <w:rPr>
          <w:rFonts w:cstheme="minorHAnsi"/>
          <w:b/>
          <w:bCs/>
        </w:rPr>
        <w:t>, 2023</w:t>
      </w:r>
    </w:p>
    <w:p w14:paraId="3CABC570" w14:textId="57883D1C" w:rsidR="00477928" w:rsidRDefault="00477928" w:rsidP="00FC0600">
      <w:pPr>
        <w:pStyle w:val="NoSpacing"/>
        <w:rPr>
          <w:rFonts w:cstheme="minorHAnsi"/>
        </w:rPr>
      </w:pPr>
    </w:p>
    <w:p w14:paraId="017F6F08" w14:textId="77777777" w:rsidR="00C90382" w:rsidRPr="009039ED" w:rsidRDefault="00C90382" w:rsidP="00C90382">
      <w:pPr>
        <w:pStyle w:val="NoSpacing"/>
        <w:rPr>
          <w:rFonts w:cstheme="minorHAnsi"/>
          <w:b/>
          <w:bCs/>
        </w:rPr>
      </w:pPr>
      <w:r w:rsidRPr="009039ED">
        <w:rPr>
          <w:rFonts w:cstheme="minorHAnsi"/>
          <w:b/>
          <w:bCs/>
        </w:rPr>
        <w:t xml:space="preserve">Acknowledgement of </w:t>
      </w:r>
      <w:r>
        <w:rPr>
          <w:rFonts w:cstheme="minorHAnsi"/>
          <w:b/>
          <w:bCs/>
        </w:rPr>
        <w:t>Monetary</w:t>
      </w:r>
      <w:r w:rsidRPr="009039ED">
        <w:rPr>
          <w:rFonts w:cstheme="minorHAnsi"/>
          <w:b/>
          <w:bCs/>
        </w:rPr>
        <w:t xml:space="preserve"> Commercial Support</w:t>
      </w:r>
    </w:p>
    <w:p w14:paraId="10D34406" w14:textId="0D591BAD" w:rsidR="00C90382" w:rsidRPr="00210BE7" w:rsidRDefault="00C90382" w:rsidP="00C90382">
      <w:pPr>
        <w:pStyle w:val="NoSpacing"/>
        <w:rPr>
          <w:rFonts w:cstheme="minorHAnsi"/>
          <w:b/>
          <w:bCs/>
        </w:rPr>
      </w:pPr>
      <w:r>
        <w:rPr>
          <w:rFonts w:cstheme="minorHAnsi"/>
        </w:rPr>
        <w:t>T</w:t>
      </w:r>
      <w:r w:rsidRPr="000F59BC">
        <w:rPr>
          <w:rFonts w:cstheme="minorHAnsi"/>
        </w:rPr>
        <w:t>he following company provided monetary support for this CME educational activity in the form of an unrestricted educational grant:</w:t>
      </w:r>
      <w:r>
        <w:rPr>
          <w:rFonts w:cstheme="minorHAnsi"/>
        </w:rPr>
        <w:t xml:space="preserve"> </w:t>
      </w:r>
      <w:proofErr w:type="gramStart"/>
      <w:r w:rsidR="00EE0143">
        <w:t>None</w:t>
      </w:r>
      <w:proofErr w:type="gramEnd"/>
      <w:r w:rsidR="00EE0143">
        <w:t xml:space="preserve"> </w:t>
      </w:r>
    </w:p>
    <w:p w14:paraId="209D2CD9" w14:textId="77777777" w:rsidR="00C90382" w:rsidRPr="009039ED" w:rsidRDefault="00C90382" w:rsidP="00FC0600">
      <w:pPr>
        <w:pStyle w:val="NoSpacing"/>
        <w:rPr>
          <w:rFonts w:cstheme="minorHAnsi"/>
        </w:rPr>
      </w:pPr>
    </w:p>
    <w:p w14:paraId="33053124" w14:textId="77777777" w:rsidR="00FC0600" w:rsidRPr="009039ED" w:rsidRDefault="00FC0600" w:rsidP="00FC0600">
      <w:pPr>
        <w:pStyle w:val="NoSpacing"/>
        <w:rPr>
          <w:rFonts w:cstheme="minorHAnsi"/>
          <w:b/>
          <w:bCs/>
        </w:rPr>
      </w:pPr>
      <w:r w:rsidRPr="009039ED">
        <w:rPr>
          <w:rFonts w:cstheme="minorHAnsi"/>
          <w:b/>
          <w:bCs/>
        </w:rPr>
        <w:t>Acknowledgement of In-Kind Support</w:t>
      </w:r>
    </w:p>
    <w:p w14:paraId="3E1F490B" w14:textId="6AF71836" w:rsidR="00210BE7" w:rsidRPr="00EE0143" w:rsidRDefault="0002546E" w:rsidP="00210BE7">
      <w:pPr>
        <w:rPr>
          <w:rFonts w:cs="Lato Black"/>
        </w:rPr>
      </w:pPr>
      <w:r w:rsidRPr="000F59BC">
        <w:rPr>
          <w:rFonts w:cstheme="minorHAnsi"/>
        </w:rPr>
        <w:t>The following compan</w:t>
      </w:r>
      <w:r>
        <w:rPr>
          <w:rFonts w:cstheme="minorHAnsi"/>
        </w:rPr>
        <w:t>ies</w:t>
      </w:r>
      <w:r w:rsidRPr="000F59BC">
        <w:rPr>
          <w:rFonts w:cstheme="minorHAnsi"/>
        </w:rPr>
        <w:t xml:space="preserve"> provided </w:t>
      </w:r>
      <w:r>
        <w:rPr>
          <w:rFonts w:cstheme="minorHAnsi"/>
        </w:rPr>
        <w:t>in-kind</w:t>
      </w:r>
      <w:r w:rsidRPr="000F59BC">
        <w:rPr>
          <w:rFonts w:cstheme="minorHAnsi"/>
        </w:rPr>
        <w:t xml:space="preserve"> support for this </w:t>
      </w:r>
      <w:r w:rsidRPr="0002546E">
        <w:rPr>
          <w:rFonts w:cstheme="minorHAnsi"/>
        </w:rPr>
        <w:t>CME educational activity</w:t>
      </w:r>
      <w:r w:rsidRPr="000A5FF3">
        <w:rPr>
          <w:rFonts w:cstheme="minorHAnsi"/>
        </w:rPr>
        <w:t xml:space="preserve">: </w:t>
      </w:r>
      <w:r w:rsidR="00EE0143" w:rsidRPr="00EE0143">
        <w:rPr>
          <w:rStyle w:val="A14"/>
          <w:b/>
          <w:bCs/>
          <w:color w:val="auto"/>
        </w:rPr>
        <w:t xml:space="preserve">GE Healthcare, Philips Healthcare, </w:t>
      </w:r>
      <w:proofErr w:type="spellStart"/>
      <w:r w:rsidR="00EE0143" w:rsidRPr="00EE0143">
        <w:rPr>
          <w:rStyle w:val="A14"/>
          <w:b/>
          <w:bCs/>
          <w:color w:val="auto"/>
        </w:rPr>
        <w:t>Ambu</w:t>
      </w:r>
      <w:proofErr w:type="spellEnd"/>
      <w:r w:rsidR="00EE0143" w:rsidRPr="00EE0143">
        <w:rPr>
          <w:rStyle w:val="A14"/>
          <w:b/>
          <w:bCs/>
          <w:color w:val="auto"/>
        </w:rPr>
        <w:t xml:space="preserve">, Mindray, Verathon, </w:t>
      </w:r>
      <w:proofErr w:type="spellStart"/>
      <w:r w:rsidR="00EE0143" w:rsidRPr="00EE0143">
        <w:rPr>
          <w:rStyle w:val="A14"/>
          <w:b/>
          <w:bCs/>
          <w:color w:val="auto"/>
        </w:rPr>
        <w:t>Dicom</w:t>
      </w:r>
      <w:proofErr w:type="spellEnd"/>
    </w:p>
    <w:p w14:paraId="6D2E2B78" w14:textId="5141FFF7" w:rsidR="00DD6427" w:rsidRPr="009039ED" w:rsidRDefault="00DD6427" w:rsidP="00210BE7">
      <w:pPr>
        <w:rPr>
          <w:rFonts w:cstheme="minorHAnsi"/>
          <w:b/>
          <w:bCs/>
          <w:u w:val="single"/>
        </w:rPr>
      </w:pPr>
      <w:r w:rsidRPr="009039ED">
        <w:rPr>
          <w:rFonts w:cstheme="minorHAnsi"/>
          <w:b/>
          <w:bCs/>
          <w:noProof/>
          <w:u w:val="single"/>
        </w:rPr>
        <w:drawing>
          <wp:anchor distT="0" distB="0" distL="114300" distR="114300" simplePos="0" relativeHeight="251659264" behindDoc="0" locked="0" layoutInCell="1" allowOverlap="1" wp14:anchorId="35154771" wp14:editId="0C6286A2">
            <wp:simplePos x="0" y="0"/>
            <wp:positionH relativeFrom="margin">
              <wp:align>left</wp:align>
            </wp:positionH>
            <wp:positionV relativeFrom="paragraph">
              <wp:posOffset>12065</wp:posOffset>
            </wp:positionV>
            <wp:extent cx="619125" cy="875030"/>
            <wp:effectExtent l="0" t="0" r="9525"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875030"/>
                    </a:xfrm>
                    <a:prstGeom prst="rect">
                      <a:avLst/>
                    </a:prstGeom>
                  </pic:spPr>
                </pic:pic>
              </a:graphicData>
            </a:graphic>
          </wp:anchor>
        </w:drawing>
      </w:r>
      <w:r w:rsidRPr="009039ED">
        <w:rPr>
          <w:rFonts w:cstheme="minorHAnsi"/>
          <w:b/>
          <w:bCs/>
          <w:u w:val="single"/>
        </w:rPr>
        <w:t>Accreditation Statement</w:t>
      </w:r>
    </w:p>
    <w:p w14:paraId="5AAE2CD2" w14:textId="77777777" w:rsidR="00BA0DAB" w:rsidRPr="009039ED" w:rsidRDefault="006D66B9" w:rsidP="00DD6427">
      <w:pPr>
        <w:rPr>
          <w:rFonts w:cstheme="minorHAnsi"/>
        </w:rPr>
      </w:pPr>
      <w:r w:rsidRPr="009039ED">
        <w:rPr>
          <w:rFonts w:cstheme="minorHAnsi"/>
        </w:rPr>
        <w:t xml:space="preserve">The Society of Cardiovascular Anesthesiologists is accredited by the Accreditation Council for Continuing Medical Education (ACCME) to provide continuing medical education for physicians. </w:t>
      </w:r>
    </w:p>
    <w:p w14:paraId="134AD416" w14:textId="44606888" w:rsidR="00BA0DAB" w:rsidRDefault="00BA0DAB" w:rsidP="00BA0DAB">
      <w:pPr>
        <w:pStyle w:val="NoSpacing"/>
        <w:rPr>
          <w:rFonts w:cstheme="minorHAnsi"/>
        </w:rPr>
      </w:pPr>
      <w:r w:rsidRPr="009039ED">
        <w:rPr>
          <w:rFonts w:cstheme="minorHAnsi"/>
        </w:rPr>
        <w:t xml:space="preserve">The Society of Cardiovascular Anesthesiologists designates this </w:t>
      </w:r>
      <w:r w:rsidR="00E71421">
        <w:rPr>
          <w:rFonts w:cstheme="minorHAnsi"/>
        </w:rPr>
        <w:t>live</w:t>
      </w:r>
      <w:r w:rsidR="00895DAB">
        <w:rPr>
          <w:rFonts w:cstheme="minorHAnsi"/>
        </w:rPr>
        <w:t xml:space="preserve"> </w:t>
      </w:r>
      <w:r w:rsidRPr="009039ED">
        <w:rPr>
          <w:rFonts w:cstheme="minorHAnsi"/>
        </w:rPr>
        <w:t xml:space="preserve">activity for a maximum of </w:t>
      </w:r>
      <w:r w:rsidR="00C90382">
        <w:rPr>
          <w:rFonts w:cstheme="minorHAnsi"/>
        </w:rPr>
        <w:t>10.0</w:t>
      </w:r>
      <w:r w:rsidRPr="009039ED">
        <w:rPr>
          <w:rFonts w:cstheme="minorHAnsi"/>
        </w:rPr>
        <w:t xml:space="preserve"> </w:t>
      </w:r>
      <w:r w:rsidRPr="009039ED">
        <w:rPr>
          <w:rFonts w:cstheme="minorHAnsi"/>
          <w:i/>
          <w:iCs/>
        </w:rPr>
        <w:t>AMA PRA Category 1 Credits</w:t>
      </w:r>
      <w:r w:rsidRPr="009039ED">
        <w:rPr>
          <w:rFonts w:cstheme="minorHAnsi"/>
        </w:rPr>
        <w:t xml:space="preserve">™ Physicians should claim only the credit commensurate with the extent of their participation in the activity. </w:t>
      </w:r>
    </w:p>
    <w:p w14:paraId="60158F61" w14:textId="4749E13B" w:rsidR="00BA0DAB" w:rsidRPr="009039ED" w:rsidRDefault="00BA0DAB" w:rsidP="00BA0DAB">
      <w:pPr>
        <w:pStyle w:val="NoSpacing"/>
        <w:rPr>
          <w:rFonts w:cstheme="minorHAnsi"/>
        </w:rPr>
      </w:pPr>
    </w:p>
    <w:p w14:paraId="78526CFF" w14:textId="3D541051" w:rsidR="00FE2733" w:rsidRPr="009039ED" w:rsidRDefault="00FE2733" w:rsidP="00BA0DAB">
      <w:pPr>
        <w:pStyle w:val="NoSpacing"/>
        <w:rPr>
          <w:rFonts w:cstheme="minorHAnsi"/>
          <w:b/>
          <w:bCs/>
        </w:rPr>
      </w:pPr>
      <w:r w:rsidRPr="009039ED">
        <w:rPr>
          <w:rFonts w:cstheme="minorHAnsi"/>
          <w:b/>
          <w:bCs/>
        </w:rPr>
        <w:t>Description:</w:t>
      </w:r>
    </w:p>
    <w:p w14:paraId="793417D4" w14:textId="77BC97C5" w:rsidR="00FD76DC" w:rsidRPr="00575E31" w:rsidRDefault="003D43B8" w:rsidP="00BA0DAB">
      <w:pPr>
        <w:pStyle w:val="NoSpacing"/>
        <w:rPr>
          <w:rFonts w:cstheme="minorHAnsi"/>
        </w:rPr>
      </w:pPr>
      <w:r w:rsidRPr="00575E31">
        <w:rPr>
          <w:rFonts w:cstheme="minorHAnsi"/>
        </w:rPr>
        <w:t>Annual societal meeting which provides education and research presentations for thoracic anesthesiologists.</w:t>
      </w:r>
    </w:p>
    <w:p w14:paraId="19176531" w14:textId="77777777" w:rsidR="003D43B8" w:rsidRDefault="003D43B8" w:rsidP="00BA0DAB">
      <w:pPr>
        <w:pStyle w:val="NoSpacing"/>
        <w:rPr>
          <w:rFonts w:cstheme="minorHAnsi"/>
        </w:rPr>
      </w:pPr>
    </w:p>
    <w:p w14:paraId="74161DFC" w14:textId="77777777" w:rsidR="00895DAB" w:rsidRPr="00EB34F0" w:rsidRDefault="00895DAB" w:rsidP="00895DAB">
      <w:pPr>
        <w:rPr>
          <w:rFonts w:cstheme="minorHAnsi"/>
          <w:b/>
          <w:bCs/>
          <w:u w:val="single"/>
        </w:rPr>
      </w:pPr>
      <w:r w:rsidRPr="00EB34F0">
        <w:rPr>
          <w:rFonts w:cstheme="minorHAnsi"/>
          <w:b/>
          <w:bCs/>
          <w:u w:val="single"/>
        </w:rPr>
        <w:t>Educational Information</w:t>
      </w:r>
    </w:p>
    <w:p w14:paraId="0F893F0A" w14:textId="3ED6FCE1" w:rsidR="00895DAB" w:rsidRPr="00EB34F0" w:rsidRDefault="00895DAB" w:rsidP="00EB34F0">
      <w:pPr>
        <w:pStyle w:val="NoSpacing"/>
        <w:rPr>
          <w:b/>
          <w:bCs/>
        </w:rPr>
      </w:pPr>
      <w:r w:rsidRPr="00EB34F0">
        <w:rPr>
          <w:b/>
          <w:bCs/>
        </w:rPr>
        <w:t xml:space="preserve">Physician Practice Gap: </w:t>
      </w:r>
    </w:p>
    <w:p w14:paraId="3782F340" w14:textId="00ABC9CB" w:rsidR="0063242A" w:rsidRPr="00575E31" w:rsidRDefault="003D43B8" w:rsidP="0063242A">
      <w:pPr>
        <w:pStyle w:val="NoSpacing"/>
      </w:pPr>
      <w:r w:rsidRPr="00575E31">
        <w:t>A gap in physician performance in thoracic procedures, lung ultrasound, regional anesthesia and knowledge base in thoracic anesthesiology will be addressed. This conference addresses several current gaps in thoracic anesthesiology: communication and teamwork in the thoracic surgical workplace, professional advancement of anesthesiologists into leadership positions and in academia, advanced procedures and point of care ultrasound technique, and up to date clinical information and best practices in thoracic anesthesiology practice.</w:t>
      </w:r>
    </w:p>
    <w:p w14:paraId="596930E2" w14:textId="77777777" w:rsidR="003D43B8" w:rsidRPr="003D43B8" w:rsidRDefault="003D43B8" w:rsidP="0063242A">
      <w:pPr>
        <w:pStyle w:val="NoSpacing"/>
        <w:rPr>
          <w:color w:val="339966"/>
        </w:rPr>
      </w:pPr>
    </w:p>
    <w:p w14:paraId="1F442B17" w14:textId="40F90A78" w:rsidR="00895DAB" w:rsidRPr="00EB34F0" w:rsidRDefault="00895DAB" w:rsidP="00EB34F0">
      <w:pPr>
        <w:pStyle w:val="NoSpacing"/>
        <w:rPr>
          <w:b/>
          <w:bCs/>
        </w:rPr>
      </w:pPr>
      <w:r w:rsidRPr="00EB34F0">
        <w:rPr>
          <w:b/>
          <w:bCs/>
        </w:rPr>
        <w:t>Needs that Underlie the Gap</w:t>
      </w:r>
    </w:p>
    <w:p w14:paraId="3E214A0C" w14:textId="77777777" w:rsidR="00976B2C" w:rsidRDefault="00976B2C" w:rsidP="004C0E90">
      <w:pPr>
        <w:spacing w:after="60"/>
      </w:pPr>
      <w:r>
        <w:t>T</w:t>
      </w:r>
      <w:r w:rsidRPr="00976B2C">
        <w:t xml:space="preserve">here is a need to provide clinicians with new approaches, strategies and updated practice guidelines and data to better diagnose and treat patients with thoracic pathologies as well as those undergoing major thoracic surgery. </w:t>
      </w:r>
      <w:r>
        <w:t xml:space="preserve">In addition, there is also a need </w:t>
      </w:r>
      <w:r w:rsidRPr="00976B2C">
        <w:t xml:space="preserve">to provide education to </w:t>
      </w:r>
      <w:r w:rsidRPr="00976B2C">
        <w:lastRenderedPageBreak/>
        <w:t xml:space="preserve">clinicians on how to prevent, identify, </w:t>
      </w:r>
      <w:proofErr w:type="gramStart"/>
      <w:r w:rsidRPr="00976B2C">
        <w:t>diagnose</w:t>
      </w:r>
      <w:proofErr w:type="gramEnd"/>
      <w:r w:rsidRPr="00976B2C">
        <w:t xml:space="preserve"> and treat a variety of issues and complications associated with the field of thoracic anesthesiology</w:t>
      </w:r>
      <w:r>
        <w:t>.</w:t>
      </w:r>
    </w:p>
    <w:p w14:paraId="01C556AF" w14:textId="2291601F" w:rsidR="00976B2C" w:rsidRDefault="00976B2C" w:rsidP="004C0E90">
      <w:pPr>
        <w:spacing w:after="60"/>
      </w:pPr>
      <w:r w:rsidRPr="00976B2C">
        <w:t xml:space="preserve">   </w:t>
      </w:r>
    </w:p>
    <w:p w14:paraId="15638B15" w14:textId="426041B3" w:rsidR="008C4FC7" w:rsidRPr="004C0E90" w:rsidRDefault="00895DAB" w:rsidP="004C0E90">
      <w:pPr>
        <w:spacing w:after="60"/>
        <w:rPr>
          <w:rFonts w:cstheme="minorHAnsi"/>
        </w:rPr>
      </w:pPr>
      <w:r w:rsidRPr="00B3218D">
        <w:rPr>
          <w:rFonts w:cstheme="minorHAnsi"/>
          <w:b/>
          <w:bCs/>
        </w:rPr>
        <w:t>DESIGNED to Change/Outcome</w:t>
      </w:r>
      <w:r w:rsidRPr="00B3218D">
        <w:rPr>
          <w:rFonts w:cstheme="minorHAnsi"/>
        </w:rPr>
        <w:t xml:space="preserve">: </w:t>
      </w:r>
      <w:r w:rsidRPr="00F55AC1">
        <w:rPr>
          <w:rFonts w:cstheme="minorHAnsi"/>
        </w:rPr>
        <w:t xml:space="preserve">Following this activity, learners will develop competence </w:t>
      </w:r>
      <w:r w:rsidR="00310251" w:rsidRPr="00F55AC1">
        <w:rPr>
          <w:rFonts w:cstheme="minorHAnsi"/>
        </w:rPr>
        <w:t xml:space="preserve">by increasing </w:t>
      </w:r>
      <w:r w:rsidR="00870B92" w:rsidRPr="00F55AC1">
        <w:rPr>
          <w:rFonts w:cstheme="minorHAnsi"/>
        </w:rPr>
        <w:t xml:space="preserve">their knowledge through a combination of hands-on learning, </w:t>
      </w:r>
      <w:r w:rsidR="00E54F18" w:rsidRPr="00F55AC1">
        <w:rPr>
          <w:rFonts w:cstheme="minorHAnsi"/>
        </w:rPr>
        <w:t>case-based</w:t>
      </w:r>
      <w:r w:rsidR="00870B92" w:rsidRPr="00F55AC1">
        <w:rPr>
          <w:rFonts w:cstheme="minorHAnsi"/>
        </w:rPr>
        <w:t xml:space="preserve"> presentations, and online lectures. Knowledge will be assessed with a pre-test and post-test.</w:t>
      </w:r>
      <w:r w:rsidR="00870B92" w:rsidRPr="00870B92">
        <w:rPr>
          <w:rFonts w:cstheme="minorHAnsi"/>
        </w:rPr>
        <w:t xml:space="preserve"> </w:t>
      </w:r>
    </w:p>
    <w:p w14:paraId="581E23BC" w14:textId="2423B9F1" w:rsidR="00177E32" w:rsidRPr="00575E31" w:rsidRDefault="00177E32" w:rsidP="00EB34F0">
      <w:pPr>
        <w:pStyle w:val="NoSpacing"/>
      </w:pPr>
      <w:r w:rsidRPr="00575E31">
        <w:t xml:space="preserve">The physicians in attendance will be able to deliver a higher quality of care in thoracic anesthesiology and thoracic surgical procedures by reviewing evidence-based material that has been identified as a professional practice gap, by attending workshops to improve hands-on delivery </w:t>
      </w:r>
      <w:r w:rsidR="004C0E90" w:rsidRPr="00575E31">
        <w:t>of care</w:t>
      </w:r>
      <w:r w:rsidRPr="00575E31">
        <w:t xml:space="preserve">, and to improve health care delivery in the thoracic surgical space. Teaching modalities will include panel discussions, hands-on workshops, and </w:t>
      </w:r>
      <w:r w:rsidR="004C0E90" w:rsidRPr="00575E31">
        <w:t>problem-based</w:t>
      </w:r>
      <w:r w:rsidRPr="00575E31">
        <w:t xml:space="preserve"> learning discussions.</w:t>
      </w:r>
    </w:p>
    <w:p w14:paraId="4E1DA35C" w14:textId="77777777" w:rsidR="00177E32" w:rsidRDefault="00177E32" w:rsidP="00EB34F0">
      <w:pPr>
        <w:pStyle w:val="NoSpacing"/>
      </w:pPr>
    </w:p>
    <w:p w14:paraId="283C5C58" w14:textId="34CAC823" w:rsidR="00FE2733" w:rsidRPr="00EB34F0" w:rsidRDefault="00FE2733" w:rsidP="00EB34F0">
      <w:pPr>
        <w:pStyle w:val="NoSpacing"/>
        <w:rPr>
          <w:b/>
          <w:bCs/>
        </w:rPr>
      </w:pPr>
      <w:r w:rsidRPr="00EB34F0">
        <w:rPr>
          <w:b/>
          <w:bCs/>
        </w:rPr>
        <w:t>Educational Objectives</w:t>
      </w:r>
    </w:p>
    <w:p w14:paraId="2EAF6553" w14:textId="77777777" w:rsidR="00FE2733" w:rsidRPr="00EB34F0" w:rsidRDefault="00FE2733" w:rsidP="00EB34F0">
      <w:pPr>
        <w:pStyle w:val="NoSpacing"/>
      </w:pPr>
      <w:r w:rsidRPr="00EB34F0">
        <w:rPr>
          <w:i/>
          <w:iCs/>
        </w:rPr>
        <w:t>After completing this activity, the participant should be better able to:</w:t>
      </w:r>
    </w:p>
    <w:p w14:paraId="7CC7CBE2" w14:textId="78B0209B" w:rsidR="00177E32" w:rsidRPr="00575E31" w:rsidRDefault="004C0E90" w:rsidP="00177E32">
      <w:pPr>
        <w:pStyle w:val="NoSpacing"/>
        <w:numPr>
          <w:ilvl w:val="0"/>
          <w:numId w:val="8"/>
        </w:numPr>
        <w:rPr>
          <w:rFonts w:eastAsia="MS Mincho"/>
        </w:rPr>
      </w:pPr>
      <w:r w:rsidRPr="00575E31">
        <w:rPr>
          <w:rFonts w:eastAsia="MS Mincho"/>
        </w:rPr>
        <w:t>d</w:t>
      </w:r>
      <w:r w:rsidR="00177E32" w:rsidRPr="00575E31">
        <w:rPr>
          <w:rFonts w:eastAsia="MS Mincho"/>
        </w:rPr>
        <w:t xml:space="preserve">escribe the latest advances and research in thoracic </w:t>
      </w:r>
      <w:r w:rsidRPr="00575E31">
        <w:rPr>
          <w:rFonts w:eastAsia="MS Mincho"/>
        </w:rPr>
        <w:t>anesthesia.</w:t>
      </w:r>
    </w:p>
    <w:p w14:paraId="17E58C73" w14:textId="2330ACF3" w:rsidR="00177E32" w:rsidRPr="00575E31" w:rsidRDefault="004C0E90" w:rsidP="00177E32">
      <w:pPr>
        <w:pStyle w:val="NoSpacing"/>
        <w:numPr>
          <w:ilvl w:val="0"/>
          <w:numId w:val="8"/>
        </w:numPr>
        <w:rPr>
          <w:rFonts w:eastAsia="MS Mincho"/>
        </w:rPr>
      </w:pPr>
      <w:r w:rsidRPr="00575E31">
        <w:rPr>
          <w:rFonts w:eastAsia="MS Mincho"/>
        </w:rPr>
        <w:t>i</w:t>
      </w:r>
      <w:r w:rsidR="00177E32" w:rsidRPr="00575E31">
        <w:rPr>
          <w:rFonts w:eastAsia="MS Mincho"/>
        </w:rPr>
        <w:t xml:space="preserve">dentify current trends in clinical and bench research pertinent to the perioperative care of patients undergoing thoracic surgery and incorporate this knowledge into understanding of the science of thoracic </w:t>
      </w:r>
      <w:r w:rsidRPr="00575E31">
        <w:rPr>
          <w:rFonts w:eastAsia="MS Mincho"/>
        </w:rPr>
        <w:t>medicine.</w:t>
      </w:r>
    </w:p>
    <w:p w14:paraId="5C49C841" w14:textId="4267CB9D" w:rsidR="00177E32" w:rsidRPr="00575E31" w:rsidRDefault="004C0E90" w:rsidP="00177E32">
      <w:pPr>
        <w:pStyle w:val="NoSpacing"/>
        <w:numPr>
          <w:ilvl w:val="0"/>
          <w:numId w:val="8"/>
        </w:numPr>
        <w:rPr>
          <w:rFonts w:eastAsia="MS Mincho"/>
        </w:rPr>
      </w:pPr>
      <w:r w:rsidRPr="00575E31">
        <w:rPr>
          <w:rFonts w:eastAsia="MS Mincho"/>
        </w:rPr>
        <w:t>e</w:t>
      </w:r>
      <w:r w:rsidR="00177E32" w:rsidRPr="00575E31">
        <w:rPr>
          <w:rFonts w:eastAsia="MS Mincho"/>
        </w:rPr>
        <w:t xml:space="preserve">valuate new therapeutic techniques and diagnostic/interventional procedures in thoracic </w:t>
      </w:r>
      <w:r w:rsidRPr="00575E31">
        <w:rPr>
          <w:rFonts w:eastAsia="MS Mincho"/>
        </w:rPr>
        <w:t>anesthesiology.</w:t>
      </w:r>
    </w:p>
    <w:p w14:paraId="15945376" w14:textId="3854E4A3" w:rsidR="00177E32" w:rsidRPr="00575E31" w:rsidRDefault="004C0E90" w:rsidP="00177E32">
      <w:pPr>
        <w:pStyle w:val="NoSpacing"/>
        <w:numPr>
          <w:ilvl w:val="0"/>
          <w:numId w:val="8"/>
        </w:numPr>
        <w:rPr>
          <w:rFonts w:eastAsia="MS Mincho"/>
        </w:rPr>
      </w:pPr>
      <w:r w:rsidRPr="00575E31">
        <w:rPr>
          <w:rFonts w:eastAsia="MS Mincho"/>
        </w:rPr>
        <w:t>d</w:t>
      </w:r>
      <w:r w:rsidR="00177E32" w:rsidRPr="00575E31">
        <w:rPr>
          <w:rFonts w:eastAsia="MS Mincho"/>
        </w:rPr>
        <w:t xml:space="preserve">iscuss advances in procedures related to thoracic anesthesia including regional anesthesia of the chest wall and point-of-care ultrasound and how to use them to improve outcomes in thoracic surgical </w:t>
      </w:r>
      <w:r w:rsidRPr="00575E31">
        <w:rPr>
          <w:rFonts w:eastAsia="MS Mincho"/>
        </w:rPr>
        <w:t>patients.</w:t>
      </w:r>
    </w:p>
    <w:p w14:paraId="76529448" w14:textId="64568046" w:rsidR="00177E32" w:rsidRPr="00575E31" w:rsidRDefault="004C0E90" w:rsidP="00177E32">
      <w:pPr>
        <w:pStyle w:val="NoSpacing"/>
        <w:numPr>
          <w:ilvl w:val="0"/>
          <w:numId w:val="8"/>
        </w:numPr>
        <w:rPr>
          <w:rFonts w:eastAsia="MS Mincho"/>
        </w:rPr>
      </w:pPr>
      <w:r w:rsidRPr="00575E31">
        <w:rPr>
          <w:rFonts w:eastAsia="MS Mincho"/>
        </w:rPr>
        <w:t>a</w:t>
      </w:r>
      <w:r w:rsidR="00177E32" w:rsidRPr="00575E31">
        <w:rPr>
          <w:rFonts w:eastAsia="MS Mincho"/>
        </w:rPr>
        <w:t xml:space="preserve">cquire skills necessary for career progression in thoracic </w:t>
      </w:r>
      <w:r w:rsidRPr="00575E31">
        <w:rPr>
          <w:rFonts w:eastAsia="MS Mincho"/>
        </w:rPr>
        <w:t>anesthesia.</w:t>
      </w:r>
    </w:p>
    <w:p w14:paraId="428B7C06" w14:textId="77777777" w:rsidR="00FD76DC" w:rsidRPr="00575E31" w:rsidRDefault="00FD76DC" w:rsidP="005A3615">
      <w:pPr>
        <w:pStyle w:val="NoSpacing"/>
        <w:rPr>
          <w:b/>
          <w:bCs/>
        </w:rPr>
      </w:pPr>
    </w:p>
    <w:p w14:paraId="07C74269" w14:textId="14B36DE4" w:rsidR="00895DAB" w:rsidRPr="005A3615" w:rsidRDefault="00895DAB" w:rsidP="005A3615">
      <w:pPr>
        <w:pStyle w:val="NoSpacing"/>
        <w:rPr>
          <w:b/>
          <w:bCs/>
        </w:rPr>
      </w:pPr>
      <w:r w:rsidRPr="005A3615">
        <w:rPr>
          <w:b/>
          <w:bCs/>
        </w:rPr>
        <w:t xml:space="preserve">Satisfactory Completion  </w:t>
      </w:r>
    </w:p>
    <w:p w14:paraId="024B728A" w14:textId="4D54033E" w:rsidR="00895DAB" w:rsidRPr="005A3615" w:rsidRDefault="00895DAB" w:rsidP="005A3615">
      <w:pPr>
        <w:pStyle w:val="NoSpacing"/>
      </w:pPr>
      <w:r w:rsidRPr="005A3615">
        <w:t xml:space="preserve">Learners must complete an evaluation form to receive a certificate of completion. Partial credit of individual sessions is not available. </w:t>
      </w:r>
    </w:p>
    <w:p w14:paraId="2A9F94D9" w14:textId="77777777" w:rsidR="005A3615" w:rsidRDefault="005A3615" w:rsidP="005A3615">
      <w:pPr>
        <w:pStyle w:val="NoSpacing"/>
      </w:pPr>
    </w:p>
    <w:p w14:paraId="6B6137A6" w14:textId="376EA43D" w:rsidR="009039ED" w:rsidRPr="005A3615" w:rsidRDefault="009039ED" w:rsidP="005A3615">
      <w:pPr>
        <w:pStyle w:val="NoSpacing"/>
        <w:rPr>
          <w:b/>
          <w:bCs/>
        </w:rPr>
      </w:pPr>
      <w:r w:rsidRPr="005A3615">
        <w:rPr>
          <w:b/>
          <w:bCs/>
        </w:rPr>
        <w:t xml:space="preserve">Contact Information </w:t>
      </w:r>
    </w:p>
    <w:p w14:paraId="0BA0CDE0" w14:textId="6089297E" w:rsidR="009039ED" w:rsidRPr="0024705C" w:rsidRDefault="009039ED" w:rsidP="005A3615">
      <w:pPr>
        <w:pStyle w:val="NoSpacing"/>
        <w:rPr>
          <w:rFonts w:ascii="Lato" w:hAnsi="Lato" w:cs="Lato"/>
        </w:rPr>
      </w:pPr>
      <w:r w:rsidRPr="00EB34F0">
        <w:t>If you have questions regarding your CME certificate</w:t>
      </w:r>
      <w:r w:rsidRPr="006F2AAA">
        <w:t xml:space="preserve">, please </w:t>
      </w:r>
      <w:r w:rsidRPr="006F2AAA">
        <w:rPr>
          <w:rFonts w:cstheme="minorHAnsi"/>
        </w:rPr>
        <w:t xml:space="preserve">contact </w:t>
      </w:r>
      <w:r w:rsidR="0024705C" w:rsidRPr="006F2AAA">
        <w:rPr>
          <w:rFonts w:cstheme="minorHAnsi"/>
        </w:rPr>
        <w:t xml:space="preserve">Sandra Elery, </w:t>
      </w:r>
      <w:r w:rsidR="0024705C" w:rsidRPr="006F2AAA">
        <w:rPr>
          <w:rFonts w:cstheme="minorHAnsi"/>
          <w:u w:val="single"/>
        </w:rPr>
        <w:t>selery@veritasamc.com</w:t>
      </w:r>
      <w:r w:rsidRPr="006F2AAA">
        <w:t>.</w:t>
      </w:r>
    </w:p>
    <w:p w14:paraId="02F46199" w14:textId="77777777" w:rsidR="009039ED" w:rsidRPr="009039ED" w:rsidRDefault="009039ED" w:rsidP="00812E7F">
      <w:pPr>
        <w:pStyle w:val="NoSpacing"/>
        <w:rPr>
          <w:rFonts w:cstheme="minorHAnsi"/>
          <w:b/>
          <w:bCs/>
        </w:rPr>
      </w:pPr>
    </w:p>
    <w:p w14:paraId="1BF1A38A" w14:textId="790CDEFE" w:rsidR="00895DAB" w:rsidRPr="000F59BC" w:rsidRDefault="00895DAB" w:rsidP="00EB34F0">
      <w:pPr>
        <w:pStyle w:val="NoSpacing"/>
        <w:rPr>
          <w:rFonts w:cstheme="minorHAnsi"/>
          <w:b/>
          <w:bCs/>
        </w:rPr>
      </w:pPr>
      <w:r w:rsidRPr="000F59BC">
        <w:rPr>
          <w:rFonts w:cstheme="minorHAnsi"/>
          <w:b/>
          <w:bCs/>
        </w:rPr>
        <w:t>Disclosure of Financial Relationships</w:t>
      </w:r>
    </w:p>
    <w:p w14:paraId="1652A183" w14:textId="14FDEE84" w:rsidR="009039ED" w:rsidRPr="009039ED" w:rsidRDefault="003B47A7" w:rsidP="00142DC5">
      <w:pPr>
        <w:pStyle w:val="NoSpacing"/>
        <w:rPr>
          <w:rFonts w:cstheme="minorHAnsi"/>
          <w:color w:val="000000"/>
        </w:rPr>
      </w:pPr>
      <w:r>
        <w:rPr>
          <w:rStyle w:val="contentpasted0"/>
          <w:rFonts w:cstheme="minorHAnsi"/>
          <w:color w:val="000000"/>
        </w:rPr>
        <w:t xml:space="preserve">As an accredited provider of the ACCME, SCA adheres to all </w:t>
      </w:r>
      <w:hyperlink r:id="rId10" w:history="1">
        <w:r w:rsidRPr="00C71182">
          <w:rPr>
            <w:rStyle w:val="Hyperlink"/>
            <w:rFonts w:cstheme="minorHAnsi"/>
          </w:rPr>
          <w:t>ACCME Standards for Integrity and Independence in Accredited Continuing Education</w:t>
        </w:r>
      </w:hyperlink>
      <w:r>
        <w:rPr>
          <w:rStyle w:val="contentpasted0"/>
          <w:rFonts w:cstheme="minorHAnsi"/>
          <w:color w:val="000000"/>
        </w:rPr>
        <w:t xml:space="preserve">. SCA collects disclosures from all individuals who </w:t>
      </w:r>
      <w:proofErr w:type="gramStart"/>
      <w:r>
        <w:rPr>
          <w:rStyle w:val="contentpasted0"/>
          <w:rFonts w:cstheme="minorHAnsi"/>
          <w:color w:val="000000"/>
        </w:rPr>
        <w:t>have the ability to</w:t>
      </w:r>
      <w:proofErr w:type="gramEnd"/>
      <w:r>
        <w:rPr>
          <w:rStyle w:val="contentpasted0"/>
          <w:rFonts w:cstheme="minorHAnsi"/>
          <w:color w:val="000000"/>
        </w:rPr>
        <w:t xml:space="preserve"> control the content of CME activities. </w:t>
      </w:r>
      <w:r w:rsidRPr="000F59BC">
        <w:rPr>
          <w:rFonts w:cstheme="minorHAnsi"/>
        </w:rPr>
        <w:t xml:space="preserve">The following </w:t>
      </w:r>
      <w:r>
        <w:rPr>
          <w:rFonts w:cstheme="minorHAnsi"/>
        </w:rPr>
        <w:t>individuals in control of content development for this activity</w:t>
      </w:r>
      <w:r w:rsidRPr="000F59BC">
        <w:rPr>
          <w:rFonts w:cstheme="minorHAnsi"/>
        </w:rPr>
        <w:t xml:space="preserve"> have indicated that they do have financial relationships with ACCME defined ineligible companies within the past 24 months. All financial relationships have been mitigated. </w:t>
      </w:r>
      <w:r>
        <w:rPr>
          <w:rFonts w:cstheme="minorHAnsi"/>
        </w:rPr>
        <w:t xml:space="preserve">No one in control of content is an employee or owner of an ACCME defined ineligible company.  </w:t>
      </w:r>
      <w:r w:rsidRPr="000F59BC">
        <w:rPr>
          <w:rFonts w:cstheme="minorHAnsi"/>
        </w:rPr>
        <w:t>All other</w:t>
      </w:r>
      <w:r>
        <w:rPr>
          <w:rFonts w:cstheme="minorHAnsi"/>
        </w:rPr>
        <w:t xml:space="preserve">s in control of content </w:t>
      </w:r>
      <w:r w:rsidRPr="000F59BC">
        <w:rPr>
          <w:rFonts w:cstheme="minorHAnsi"/>
        </w:rPr>
        <w:t>not listed below have indicated that they have no financial relationships to disclose.</w:t>
      </w:r>
    </w:p>
    <w:tbl>
      <w:tblPr>
        <w:tblStyle w:val="TableGrid"/>
        <w:tblW w:w="0" w:type="auto"/>
        <w:tblLook w:val="04A0" w:firstRow="1" w:lastRow="0" w:firstColumn="1" w:lastColumn="0" w:noHBand="0" w:noVBand="1"/>
      </w:tblPr>
      <w:tblGrid>
        <w:gridCol w:w="2590"/>
        <w:gridCol w:w="1635"/>
        <w:gridCol w:w="3545"/>
        <w:gridCol w:w="2590"/>
        <w:gridCol w:w="2590"/>
      </w:tblGrid>
      <w:tr w:rsidR="00EF3218" w:rsidRPr="00EF3218" w14:paraId="3B39DA73" w14:textId="77777777" w:rsidTr="00110F85">
        <w:tc>
          <w:tcPr>
            <w:tcW w:w="2590" w:type="dxa"/>
          </w:tcPr>
          <w:p w14:paraId="53196986" w14:textId="77777777" w:rsidR="00EF3218" w:rsidRPr="00EF3218" w:rsidRDefault="00EF3218" w:rsidP="00110F85">
            <w:pPr>
              <w:pStyle w:val="NoSpacing"/>
              <w:rPr>
                <w:rFonts w:cstheme="minorHAnsi"/>
                <w:b/>
                <w:bCs/>
                <w:sz w:val="20"/>
                <w:szCs w:val="20"/>
              </w:rPr>
            </w:pPr>
            <w:r w:rsidRPr="00EF3218">
              <w:rPr>
                <w:rFonts w:cstheme="minorHAnsi"/>
                <w:b/>
                <w:bCs/>
                <w:sz w:val="20"/>
                <w:szCs w:val="20"/>
              </w:rPr>
              <w:lastRenderedPageBreak/>
              <w:t>Last Name</w:t>
            </w:r>
          </w:p>
        </w:tc>
        <w:tc>
          <w:tcPr>
            <w:tcW w:w="1635" w:type="dxa"/>
          </w:tcPr>
          <w:p w14:paraId="10F22295" w14:textId="77777777" w:rsidR="00EF3218" w:rsidRPr="00EF3218" w:rsidRDefault="00EF3218" w:rsidP="00110F85">
            <w:pPr>
              <w:pStyle w:val="NoSpacing"/>
              <w:rPr>
                <w:rFonts w:cstheme="minorHAnsi"/>
                <w:b/>
                <w:bCs/>
                <w:sz w:val="20"/>
                <w:szCs w:val="20"/>
              </w:rPr>
            </w:pPr>
            <w:r w:rsidRPr="00EF3218">
              <w:rPr>
                <w:rFonts w:cstheme="minorHAnsi"/>
                <w:b/>
                <w:bCs/>
                <w:sz w:val="20"/>
                <w:szCs w:val="20"/>
              </w:rPr>
              <w:t xml:space="preserve">First Name  </w:t>
            </w:r>
          </w:p>
        </w:tc>
        <w:tc>
          <w:tcPr>
            <w:tcW w:w="3545" w:type="dxa"/>
          </w:tcPr>
          <w:p w14:paraId="34256CFF" w14:textId="77777777" w:rsidR="00EF3218" w:rsidRPr="00EF3218" w:rsidRDefault="00EF3218" w:rsidP="00110F85">
            <w:pPr>
              <w:pStyle w:val="NoSpacing"/>
              <w:rPr>
                <w:rFonts w:cstheme="minorHAnsi"/>
                <w:b/>
                <w:bCs/>
                <w:sz w:val="20"/>
                <w:szCs w:val="20"/>
              </w:rPr>
            </w:pPr>
            <w:r w:rsidRPr="00EF3218">
              <w:rPr>
                <w:rFonts w:cstheme="minorHAnsi"/>
                <w:b/>
                <w:bCs/>
                <w:sz w:val="20"/>
                <w:szCs w:val="20"/>
              </w:rPr>
              <w:t>Disclosures (s)</w:t>
            </w:r>
          </w:p>
        </w:tc>
        <w:tc>
          <w:tcPr>
            <w:tcW w:w="2590" w:type="dxa"/>
          </w:tcPr>
          <w:p w14:paraId="1AD33553" w14:textId="77777777" w:rsidR="00EF3218" w:rsidRPr="00EF3218" w:rsidRDefault="00EF3218" w:rsidP="00110F85">
            <w:pPr>
              <w:pStyle w:val="NoSpacing"/>
              <w:rPr>
                <w:rFonts w:cstheme="minorHAnsi"/>
                <w:b/>
                <w:bCs/>
                <w:sz w:val="20"/>
                <w:szCs w:val="20"/>
              </w:rPr>
            </w:pPr>
            <w:r w:rsidRPr="00EF3218">
              <w:rPr>
                <w:rFonts w:cstheme="minorHAnsi"/>
                <w:b/>
                <w:bCs/>
                <w:sz w:val="20"/>
                <w:szCs w:val="20"/>
              </w:rPr>
              <w:t xml:space="preserve">Role </w:t>
            </w:r>
          </w:p>
        </w:tc>
        <w:tc>
          <w:tcPr>
            <w:tcW w:w="2590" w:type="dxa"/>
          </w:tcPr>
          <w:p w14:paraId="33B17DF4" w14:textId="77777777" w:rsidR="00EF3218" w:rsidRPr="00EF3218" w:rsidRDefault="00EF3218" w:rsidP="00110F85">
            <w:pPr>
              <w:pStyle w:val="NoSpacing"/>
              <w:rPr>
                <w:b/>
                <w:bCs/>
                <w:sz w:val="20"/>
                <w:szCs w:val="20"/>
              </w:rPr>
            </w:pPr>
            <w:r w:rsidRPr="00EF3218">
              <w:rPr>
                <w:b/>
                <w:bCs/>
                <w:sz w:val="20"/>
                <w:szCs w:val="20"/>
              </w:rPr>
              <w:t xml:space="preserve">Method of Mitigation </w:t>
            </w:r>
          </w:p>
        </w:tc>
      </w:tr>
      <w:tr w:rsidR="00EF3218" w:rsidRPr="00EF3218" w14:paraId="09BD6DA0" w14:textId="77777777" w:rsidTr="00110F85">
        <w:tc>
          <w:tcPr>
            <w:tcW w:w="2590" w:type="dxa"/>
          </w:tcPr>
          <w:p w14:paraId="357E3B54" w14:textId="77777777" w:rsidR="00EF3218" w:rsidRPr="00EF3218" w:rsidRDefault="00EF3218" w:rsidP="00110F85">
            <w:pPr>
              <w:pStyle w:val="NoSpacing"/>
              <w:rPr>
                <w:rFonts w:cstheme="minorHAnsi"/>
                <w:sz w:val="20"/>
                <w:szCs w:val="20"/>
              </w:rPr>
            </w:pPr>
            <w:r w:rsidRPr="00EF3218">
              <w:rPr>
                <w:rFonts w:cstheme="minorHAnsi"/>
                <w:b/>
                <w:bCs/>
                <w:sz w:val="20"/>
                <w:szCs w:val="20"/>
              </w:rPr>
              <w:t>Fernando</w:t>
            </w:r>
          </w:p>
        </w:tc>
        <w:tc>
          <w:tcPr>
            <w:tcW w:w="1635" w:type="dxa"/>
          </w:tcPr>
          <w:p w14:paraId="46B6DF48" w14:textId="77777777" w:rsidR="00EF3218" w:rsidRPr="00EF3218" w:rsidRDefault="00EF3218" w:rsidP="00110F85">
            <w:pPr>
              <w:pStyle w:val="NoSpacing"/>
              <w:rPr>
                <w:rFonts w:cstheme="minorHAnsi"/>
                <w:sz w:val="20"/>
                <w:szCs w:val="20"/>
              </w:rPr>
            </w:pPr>
            <w:r w:rsidRPr="00EF3218">
              <w:rPr>
                <w:rFonts w:cstheme="minorHAnsi"/>
                <w:b/>
                <w:bCs/>
                <w:sz w:val="20"/>
                <w:szCs w:val="20"/>
              </w:rPr>
              <w:t>Rohesh</w:t>
            </w:r>
          </w:p>
        </w:tc>
        <w:tc>
          <w:tcPr>
            <w:tcW w:w="3545" w:type="dxa"/>
          </w:tcPr>
          <w:p w14:paraId="70A097DB" w14:textId="77777777" w:rsidR="00EF3218" w:rsidRPr="00EF3218" w:rsidRDefault="00EF3218" w:rsidP="00110F85">
            <w:pPr>
              <w:pStyle w:val="NoSpacing"/>
              <w:rPr>
                <w:rFonts w:cstheme="minorHAnsi"/>
                <w:sz w:val="20"/>
                <w:szCs w:val="20"/>
              </w:rPr>
            </w:pPr>
            <w:r w:rsidRPr="00EF3218">
              <w:rPr>
                <w:rFonts w:cstheme="minorHAnsi"/>
                <w:sz w:val="20"/>
                <w:szCs w:val="20"/>
              </w:rPr>
              <w:t>La Jolla Pharmaceuticals (Other Financial or Material Support)</w:t>
            </w:r>
          </w:p>
        </w:tc>
        <w:tc>
          <w:tcPr>
            <w:tcW w:w="2590" w:type="dxa"/>
          </w:tcPr>
          <w:p w14:paraId="5BEEB06E" w14:textId="77777777" w:rsidR="00EF3218" w:rsidRPr="00EF3218" w:rsidRDefault="00EF3218" w:rsidP="00110F85">
            <w:pPr>
              <w:pStyle w:val="NoSpacing"/>
              <w:rPr>
                <w:rFonts w:cstheme="minorHAnsi"/>
                <w:sz w:val="20"/>
                <w:szCs w:val="20"/>
              </w:rPr>
            </w:pPr>
            <w:r w:rsidRPr="00EF3218">
              <w:rPr>
                <w:rFonts w:cstheme="minorHAnsi"/>
                <w:sz w:val="20"/>
                <w:szCs w:val="20"/>
              </w:rPr>
              <w:t>Presenter</w:t>
            </w:r>
          </w:p>
        </w:tc>
        <w:tc>
          <w:tcPr>
            <w:tcW w:w="2590" w:type="dxa"/>
          </w:tcPr>
          <w:p w14:paraId="6EF3602C" w14:textId="2E70692C" w:rsidR="00EF3218" w:rsidRPr="00EF3218" w:rsidRDefault="00E868E0" w:rsidP="00110F85">
            <w:pPr>
              <w:pStyle w:val="NoSpacing"/>
              <w:rPr>
                <w:rFonts w:cstheme="minorHAnsi"/>
                <w:sz w:val="20"/>
                <w:szCs w:val="20"/>
              </w:rPr>
            </w:pPr>
            <w:r>
              <w:rPr>
                <w:sz w:val="20"/>
                <w:szCs w:val="20"/>
              </w:rPr>
              <w:t xml:space="preserve">No conflict of interest exists. SCA requires all individuals with financial relationships with ACCME defined ineligible companies to </w:t>
            </w:r>
            <w:r w:rsidR="00EF3218" w:rsidRPr="00EF3218">
              <w:rPr>
                <w:sz w:val="20"/>
                <w:szCs w:val="20"/>
              </w:rPr>
              <w:t>comply with ACCME Standards for Commercial Support</w:t>
            </w:r>
            <w:r>
              <w:rPr>
                <w:sz w:val="20"/>
                <w:szCs w:val="20"/>
              </w:rPr>
              <w:t xml:space="preserve">. SCA has received an attestation from this presenter/planner agreeing to comply. </w:t>
            </w:r>
          </w:p>
        </w:tc>
      </w:tr>
      <w:tr w:rsidR="00EF3218" w14:paraId="084974F9" w14:textId="77777777" w:rsidTr="00110F85">
        <w:tc>
          <w:tcPr>
            <w:tcW w:w="2590" w:type="dxa"/>
          </w:tcPr>
          <w:p w14:paraId="43234D7F" w14:textId="77777777" w:rsidR="00EF3218" w:rsidRPr="00EF3218" w:rsidRDefault="00EF3218" w:rsidP="00110F85">
            <w:pPr>
              <w:pStyle w:val="NoSpacing"/>
              <w:rPr>
                <w:rFonts w:cstheme="minorHAnsi"/>
                <w:b/>
                <w:bCs/>
                <w:sz w:val="20"/>
                <w:szCs w:val="20"/>
              </w:rPr>
            </w:pPr>
            <w:r>
              <w:rPr>
                <w:rFonts w:cstheme="minorHAnsi"/>
                <w:b/>
                <w:bCs/>
                <w:sz w:val="20"/>
                <w:szCs w:val="20"/>
              </w:rPr>
              <w:t xml:space="preserve">Martin </w:t>
            </w:r>
          </w:p>
        </w:tc>
        <w:tc>
          <w:tcPr>
            <w:tcW w:w="1635" w:type="dxa"/>
          </w:tcPr>
          <w:p w14:paraId="3C60C7B8" w14:textId="77777777" w:rsidR="00EF3218" w:rsidRPr="00EF3218" w:rsidRDefault="00EF3218" w:rsidP="00110F85">
            <w:pPr>
              <w:pStyle w:val="NoSpacing"/>
              <w:rPr>
                <w:rFonts w:cstheme="minorHAnsi"/>
                <w:b/>
                <w:bCs/>
                <w:sz w:val="20"/>
                <w:szCs w:val="20"/>
              </w:rPr>
            </w:pPr>
            <w:r>
              <w:rPr>
                <w:rFonts w:cstheme="minorHAnsi"/>
                <w:b/>
                <w:bCs/>
                <w:sz w:val="20"/>
                <w:szCs w:val="20"/>
              </w:rPr>
              <w:t xml:space="preserve">Archer </w:t>
            </w:r>
          </w:p>
        </w:tc>
        <w:tc>
          <w:tcPr>
            <w:tcW w:w="3545" w:type="dxa"/>
          </w:tcPr>
          <w:p w14:paraId="67DABBBA" w14:textId="77777777" w:rsidR="00EF3218" w:rsidRPr="00EF3218" w:rsidRDefault="00EF3218" w:rsidP="00110F85">
            <w:pPr>
              <w:pStyle w:val="NoSpacing"/>
              <w:rPr>
                <w:rFonts w:cstheme="minorHAnsi"/>
              </w:rPr>
            </w:pPr>
            <w:r w:rsidRPr="00EF3218">
              <w:rPr>
                <w:rFonts w:ascii="Calibri" w:eastAsia="Times New Roman" w:hAnsi="Calibri" w:cs="Calibri"/>
                <w:color w:val="000000"/>
                <w:sz w:val="20"/>
                <w:szCs w:val="20"/>
              </w:rPr>
              <w:t xml:space="preserve">Scientific Advisory Board - </w:t>
            </w:r>
            <w:proofErr w:type="spellStart"/>
            <w:r w:rsidRPr="00EF3218">
              <w:rPr>
                <w:rFonts w:ascii="Calibri" w:eastAsia="Times New Roman" w:hAnsi="Calibri" w:cs="Calibri"/>
                <w:color w:val="000000"/>
                <w:sz w:val="20"/>
                <w:szCs w:val="20"/>
              </w:rPr>
              <w:t>Attgeno</w:t>
            </w:r>
            <w:proofErr w:type="spellEnd"/>
            <w:r w:rsidRPr="00EF3218">
              <w:rPr>
                <w:rFonts w:ascii="Calibri" w:eastAsia="Times New Roman" w:hAnsi="Calibri" w:cs="Calibri"/>
                <w:color w:val="000000"/>
                <w:sz w:val="20"/>
                <w:szCs w:val="20"/>
              </w:rPr>
              <w:t xml:space="preserve"> AB - All compensation to employer (Mayo Clinic)</w:t>
            </w:r>
          </w:p>
        </w:tc>
        <w:tc>
          <w:tcPr>
            <w:tcW w:w="2590" w:type="dxa"/>
          </w:tcPr>
          <w:p w14:paraId="4D60BF43" w14:textId="77777777" w:rsidR="00EF3218" w:rsidRPr="00EF3218" w:rsidRDefault="00EF3218" w:rsidP="00110F85">
            <w:pPr>
              <w:pStyle w:val="NoSpacing"/>
              <w:rPr>
                <w:rFonts w:cstheme="minorHAnsi"/>
                <w:sz w:val="20"/>
                <w:szCs w:val="20"/>
              </w:rPr>
            </w:pPr>
            <w:r w:rsidRPr="00EF3218">
              <w:rPr>
                <w:rFonts w:cstheme="minorHAnsi"/>
                <w:sz w:val="20"/>
                <w:szCs w:val="20"/>
              </w:rPr>
              <w:t>Planner</w:t>
            </w:r>
          </w:p>
        </w:tc>
        <w:tc>
          <w:tcPr>
            <w:tcW w:w="2590" w:type="dxa"/>
          </w:tcPr>
          <w:p w14:paraId="13964E60" w14:textId="6BC46287" w:rsidR="00EF3218" w:rsidRPr="00EF3218" w:rsidRDefault="00E868E0" w:rsidP="00110F85">
            <w:pPr>
              <w:pStyle w:val="NoSpacing"/>
              <w:rPr>
                <w:sz w:val="20"/>
                <w:szCs w:val="20"/>
              </w:rPr>
            </w:pPr>
            <w:r>
              <w:rPr>
                <w:sz w:val="20"/>
                <w:szCs w:val="20"/>
              </w:rPr>
              <w:t xml:space="preserve">No conflict of interest exists. SCA requires all individuals with financial relationships with ACCME defined ineligible companies to </w:t>
            </w:r>
            <w:r w:rsidRPr="00EF3218">
              <w:rPr>
                <w:sz w:val="20"/>
                <w:szCs w:val="20"/>
              </w:rPr>
              <w:t>comply with ACCME Standards for Commercial Support</w:t>
            </w:r>
            <w:r>
              <w:rPr>
                <w:sz w:val="20"/>
                <w:szCs w:val="20"/>
              </w:rPr>
              <w:t>. SCA has received an attestation from this presenter/planner agreeing to comply.</w:t>
            </w:r>
          </w:p>
        </w:tc>
      </w:tr>
      <w:tr w:rsidR="00EF3218" w14:paraId="701C0ECB" w14:textId="77777777" w:rsidTr="00110F85">
        <w:tc>
          <w:tcPr>
            <w:tcW w:w="2590" w:type="dxa"/>
          </w:tcPr>
          <w:p w14:paraId="05191B80" w14:textId="3124E690" w:rsidR="00EF3218" w:rsidRPr="0082370A" w:rsidRDefault="0082370A" w:rsidP="00110F85">
            <w:pPr>
              <w:pStyle w:val="NoSpacing"/>
              <w:rPr>
                <w:rFonts w:cstheme="minorHAnsi"/>
                <w:b/>
                <w:bCs/>
                <w:sz w:val="20"/>
                <w:szCs w:val="20"/>
              </w:rPr>
            </w:pPr>
            <w:r w:rsidRPr="0082370A">
              <w:rPr>
                <w:rFonts w:cstheme="minorHAnsi"/>
                <w:b/>
                <w:bCs/>
                <w:sz w:val="20"/>
                <w:szCs w:val="20"/>
              </w:rPr>
              <w:t>Marcelo</w:t>
            </w:r>
          </w:p>
        </w:tc>
        <w:tc>
          <w:tcPr>
            <w:tcW w:w="1635" w:type="dxa"/>
          </w:tcPr>
          <w:p w14:paraId="2F40A2F7" w14:textId="77777777" w:rsidR="00EF3218" w:rsidRPr="0082370A" w:rsidRDefault="00EF3218" w:rsidP="00110F85">
            <w:pPr>
              <w:pStyle w:val="NoSpacing"/>
              <w:rPr>
                <w:rFonts w:cstheme="minorHAnsi"/>
                <w:b/>
                <w:bCs/>
                <w:sz w:val="20"/>
                <w:szCs w:val="20"/>
              </w:rPr>
            </w:pPr>
            <w:r w:rsidRPr="0082370A">
              <w:rPr>
                <w:b/>
                <w:bCs/>
                <w:sz w:val="20"/>
                <w:szCs w:val="20"/>
              </w:rPr>
              <w:t>Gama de Abreu</w:t>
            </w:r>
          </w:p>
        </w:tc>
        <w:tc>
          <w:tcPr>
            <w:tcW w:w="3545" w:type="dxa"/>
          </w:tcPr>
          <w:p w14:paraId="5DB8B0AD" w14:textId="77777777" w:rsidR="00EF3218" w:rsidRPr="0082370A" w:rsidRDefault="00EF3218" w:rsidP="00110F85">
            <w:pPr>
              <w:pStyle w:val="NoSpacing"/>
              <w:rPr>
                <w:rFonts w:cstheme="minorHAnsi"/>
                <w:sz w:val="20"/>
                <w:szCs w:val="20"/>
              </w:rPr>
            </w:pPr>
            <w:proofErr w:type="spellStart"/>
            <w:r w:rsidRPr="0082370A">
              <w:rPr>
                <w:sz w:val="20"/>
                <w:szCs w:val="20"/>
              </w:rPr>
              <w:t>Ambu</w:t>
            </w:r>
            <w:proofErr w:type="spellEnd"/>
            <w:r w:rsidRPr="0082370A">
              <w:rPr>
                <w:sz w:val="20"/>
                <w:szCs w:val="20"/>
              </w:rPr>
              <w:t xml:space="preserve"> (Consulting Fees); </w:t>
            </w:r>
            <w:proofErr w:type="spellStart"/>
            <w:r w:rsidRPr="0082370A">
              <w:rPr>
                <w:sz w:val="20"/>
                <w:szCs w:val="20"/>
              </w:rPr>
              <w:t>Ambu</w:t>
            </w:r>
            <w:proofErr w:type="spellEnd"/>
            <w:r w:rsidRPr="0082370A">
              <w:rPr>
                <w:sz w:val="20"/>
                <w:szCs w:val="20"/>
              </w:rPr>
              <w:t xml:space="preserve"> (Honoraria); </w:t>
            </w:r>
            <w:proofErr w:type="spellStart"/>
            <w:r w:rsidRPr="0082370A">
              <w:rPr>
                <w:sz w:val="20"/>
                <w:szCs w:val="20"/>
              </w:rPr>
              <w:t>Lungpacer</w:t>
            </w:r>
            <w:proofErr w:type="spellEnd"/>
            <w:r w:rsidRPr="0082370A">
              <w:rPr>
                <w:sz w:val="20"/>
                <w:szCs w:val="20"/>
              </w:rPr>
              <w:t xml:space="preserve"> (Consulting Fees)</w:t>
            </w:r>
          </w:p>
        </w:tc>
        <w:tc>
          <w:tcPr>
            <w:tcW w:w="2590" w:type="dxa"/>
          </w:tcPr>
          <w:p w14:paraId="115EB99D" w14:textId="77777777" w:rsidR="00EF3218" w:rsidRPr="0082370A" w:rsidRDefault="00EF3218" w:rsidP="00110F85">
            <w:pPr>
              <w:pStyle w:val="NoSpacing"/>
              <w:rPr>
                <w:rFonts w:cstheme="minorHAnsi"/>
                <w:sz w:val="20"/>
                <w:szCs w:val="20"/>
              </w:rPr>
            </w:pPr>
            <w:r w:rsidRPr="0082370A">
              <w:rPr>
                <w:rFonts w:cstheme="minorHAnsi"/>
                <w:sz w:val="20"/>
                <w:szCs w:val="20"/>
              </w:rPr>
              <w:t xml:space="preserve">Presenter </w:t>
            </w:r>
          </w:p>
        </w:tc>
        <w:tc>
          <w:tcPr>
            <w:tcW w:w="2590" w:type="dxa"/>
          </w:tcPr>
          <w:p w14:paraId="7A036A90" w14:textId="30C24A7C" w:rsidR="00EF3218" w:rsidRPr="0082370A" w:rsidRDefault="00E868E0" w:rsidP="00110F85">
            <w:pPr>
              <w:pStyle w:val="NoSpacing"/>
              <w:rPr>
                <w:sz w:val="20"/>
                <w:szCs w:val="20"/>
              </w:rPr>
            </w:pPr>
            <w:r>
              <w:rPr>
                <w:sz w:val="20"/>
                <w:szCs w:val="20"/>
              </w:rPr>
              <w:t xml:space="preserve">No conflict of interest exists. SCA requires all individuals with financial relationships with ACCME defined ineligible companies to </w:t>
            </w:r>
            <w:r w:rsidRPr="00EF3218">
              <w:rPr>
                <w:sz w:val="20"/>
                <w:szCs w:val="20"/>
              </w:rPr>
              <w:t>comply with ACCME Standards for Commercial Support</w:t>
            </w:r>
            <w:r>
              <w:rPr>
                <w:sz w:val="20"/>
                <w:szCs w:val="20"/>
              </w:rPr>
              <w:t>. SCA has received an attestation from this presenter/planner agreeing to comply.</w:t>
            </w:r>
          </w:p>
        </w:tc>
      </w:tr>
    </w:tbl>
    <w:p w14:paraId="13619C31" w14:textId="77777777" w:rsidR="00EF3218" w:rsidRDefault="00EF3218" w:rsidP="00683332">
      <w:pPr>
        <w:tabs>
          <w:tab w:val="left" w:pos="6480"/>
        </w:tabs>
        <w:ind w:right="3859"/>
        <w:rPr>
          <w:rFonts w:cstheme="minorHAnsi"/>
          <w:b/>
        </w:rPr>
      </w:pPr>
    </w:p>
    <w:p w14:paraId="5C921F8E" w14:textId="77777777" w:rsidR="00E868E0" w:rsidRDefault="00E868E0" w:rsidP="00683332">
      <w:pPr>
        <w:tabs>
          <w:tab w:val="left" w:pos="6480"/>
        </w:tabs>
        <w:ind w:right="3859"/>
        <w:rPr>
          <w:rFonts w:cstheme="minorHAnsi"/>
          <w:b/>
        </w:rPr>
      </w:pPr>
    </w:p>
    <w:p w14:paraId="364A68A6" w14:textId="2C629245" w:rsidR="00683332" w:rsidRPr="00C868A9" w:rsidRDefault="00683332" w:rsidP="00683332">
      <w:pPr>
        <w:tabs>
          <w:tab w:val="left" w:pos="6480"/>
        </w:tabs>
        <w:ind w:right="3859"/>
        <w:rPr>
          <w:rFonts w:cstheme="minorHAnsi"/>
          <w:b/>
        </w:rPr>
      </w:pPr>
      <w:r w:rsidRPr="00C868A9">
        <w:rPr>
          <w:rFonts w:cstheme="minorHAnsi"/>
          <w:b/>
        </w:rPr>
        <w:lastRenderedPageBreak/>
        <w:t>How to Get Your CME Certificate</w:t>
      </w:r>
    </w:p>
    <w:p w14:paraId="2E92705B" w14:textId="77777777" w:rsidR="00FF40E7" w:rsidRDefault="00683332" w:rsidP="00FF40E7">
      <w:pPr>
        <w:pStyle w:val="NoSpacing"/>
        <w:numPr>
          <w:ilvl w:val="0"/>
          <w:numId w:val="9"/>
        </w:numPr>
      </w:pPr>
      <w:r w:rsidRPr="005A6E1C">
        <w:rPr>
          <w:rFonts w:cstheme="minorHAnsi"/>
          <w:bCs/>
        </w:rPr>
        <w:t xml:space="preserve">Go to </w:t>
      </w:r>
      <w:hyperlink r:id="rId11" w:history="1">
        <w:r w:rsidR="00FF40E7">
          <w:rPr>
            <w:rStyle w:val="Hyperlink"/>
            <w:rFonts w:eastAsia="Times New Roman"/>
          </w:rPr>
          <w:t>https://www.surveymagnet.com/Magnet3/login.asp?EventKey=DWIDCGLY</w:t>
        </w:r>
      </w:hyperlink>
      <w:r w:rsidRPr="00FF40E7">
        <w:rPr>
          <w:rFonts w:cstheme="minorHAnsi"/>
          <w:bCs/>
        </w:rPr>
        <w:t xml:space="preserve"> </w:t>
      </w:r>
      <w:r w:rsidRPr="00FF40E7">
        <w:rPr>
          <w:rFonts w:cstheme="minorHAnsi"/>
          <w:color w:val="202020"/>
          <w:shd w:val="clear" w:color="auto" w:fill="FFFFFF"/>
        </w:rPr>
        <w:t>(link will become active at the conclusion of the meeting)</w:t>
      </w:r>
    </w:p>
    <w:p w14:paraId="360174DC" w14:textId="193F5AFE" w:rsidR="00683332" w:rsidRPr="00FF40E7" w:rsidRDefault="00683332" w:rsidP="00FF40E7">
      <w:pPr>
        <w:pStyle w:val="NoSpacing"/>
        <w:numPr>
          <w:ilvl w:val="0"/>
          <w:numId w:val="9"/>
        </w:numPr>
      </w:pPr>
      <w:r w:rsidRPr="00C868A9">
        <w:rPr>
          <w:rFonts w:cstheme="minorHAnsi"/>
          <w:noProof/>
        </w:rPr>
        <w:t>Login and evaluate the meeting.</w:t>
      </w:r>
    </w:p>
    <w:p w14:paraId="70ECEA12" w14:textId="1E33F880" w:rsidR="00683332" w:rsidRPr="00C868A9" w:rsidRDefault="00683332" w:rsidP="00FF40E7">
      <w:pPr>
        <w:pStyle w:val="NoSpacing"/>
        <w:numPr>
          <w:ilvl w:val="0"/>
          <w:numId w:val="9"/>
        </w:numPr>
        <w:rPr>
          <w:rFonts w:cstheme="minorHAnsi"/>
        </w:rPr>
      </w:pPr>
      <w:r w:rsidRPr="00C868A9">
        <w:rPr>
          <w:rFonts w:cstheme="minorHAnsi"/>
        </w:rPr>
        <w:t xml:space="preserve">Print all pages of your certificate for your records. </w:t>
      </w:r>
    </w:p>
    <w:p w14:paraId="152730A0" w14:textId="77777777" w:rsidR="003E2DD8" w:rsidRPr="00683332" w:rsidRDefault="003E2DD8" w:rsidP="00FF40E7">
      <w:pPr>
        <w:pStyle w:val="NoSpacing"/>
        <w:rPr>
          <w:rFonts w:cstheme="minorHAnsi"/>
        </w:rPr>
      </w:pPr>
    </w:p>
    <w:p w14:paraId="2FC6F147" w14:textId="40C6EAA8" w:rsidR="00B55BAD" w:rsidRDefault="00B55BAD" w:rsidP="00142DC5">
      <w:pPr>
        <w:pStyle w:val="NoSpacing"/>
        <w:rPr>
          <w:rFonts w:cstheme="minorHAnsi"/>
        </w:rPr>
      </w:pPr>
    </w:p>
    <w:p w14:paraId="2A250C18" w14:textId="6A4DBF1F" w:rsidR="00EF3218" w:rsidRDefault="00EF3218" w:rsidP="00142DC5">
      <w:pPr>
        <w:pStyle w:val="NoSpacing"/>
        <w:rPr>
          <w:rFonts w:cstheme="minorHAnsi"/>
        </w:rPr>
      </w:pPr>
    </w:p>
    <w:p w14:paraId="43A9F043" w14:textId="697318AC" w:rsidR="00EF3218" w:rsidRDefault="00EF3218" w:rsidP="00142DC5">
      <w:pPr>
        <w:pStyle w:val="NoSpacing"/>
        <w:rPr>
          <w:rFonts w:cstheme="minorHAnsi"/>
        </w:rPr>
      </w:pPr>
    </w:p>
    <w:p w14:paraId="5CFD5CBD" w14:textId="77777777" w:rsidR="00EF3218" w:rsidRPr="00B55BAD" w:rsidRDefault="00EF3218" w:rsidP="00142DC5">
      <w:pPr>
        <w:pStyle w:val="NoSpacing"/>
        <w:rPr>
          <w:rFonts w:cstheme="minorHAnsi"/>
        </w:rPr>
      </w:pPr>
    </w:p>
    <w:sectPr w:rsidR="00EF3218" w:rsidRPr="00B55BAD" w:rsidSect="009039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Variable Concept">
    <w:altName w:val="Calibri"/>
    <w:charset w:val="00"/>
    <w:family w:val="auto"/>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Acumin Pro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129"/>
    <w:multiLevelType w:val="multilevel"/>
    <w:tmpl w:val="45066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F843D2"/>
    <w:multiLevelType w:val="hybridMultilevel"/>
    <w:tmpl w:val="458A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FCD"/>
    <w:multiLevelType w:val="hybridMultilevel"/>
    <w:tmpl w:val="8B1C268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80DF8"/>
    <w:multiLevelType w:val="hybridMultilevel"/>
    <w:tmpl w:val="3DC2B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52E2C"/>
    <w:multiLevelType w:val="hybridMultilevel"/>
    <w:tmpl w:val="23EE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C37BC"/>
    <w:multiLevelType w:val="hybridMultilevel"/>
    <w:tmpl w:val="BB3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53EBC"/>
    <w:multiLevelType w:val="hybridMultilevel"/>
    <w:tmpl w:val="C4B29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416B53"/>
    <w:multiLevelType w:val="hybridMultilevel"/>
    <w:tmpl w:val="34B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E73CB"/>
    <w:multiLevelType w:val="hybridMultilevel"/>
    <w:tmpl w:val="06D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50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6778626">
    <w:abstractNumId w:val="5"/>
  </w:num>
  <w:num w:numId="3" w16cid:durableId="2043627767">
    <w:abstractNumId w:val="8"/>
  </w:num>
  <w:num w:numId="4" w16cid:durableId="904492387">
    <w:abstractNumId w:val="1"/>
  </w:num>
  <w:num w:numId="5" w16cid:durableId="948049468">
    <w:abstractNumId w:val="4"/>
  </w:num>
  <w:num w:numId="6" w16cid:durableId="1802724557">
    <w:abstractNumId w:val="7"/>
  </w:num>
  <w:num w:numId="7" w16cid:durableId="995916219">
    <w:abstractNumId w:val="2"/>
  </w:num>
  <w:num w:numId="8" w16cid:durableId="1392733820">
    <w:abstractNumId w:val="6"/>
  </w:num>
  <w:num w:numId="9" w16cid:durableId="85153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7F"/>
    <w:rsid w:val="0002546E"/>
    <w:rsid w:val="00030483"/>
    <w:rsid w:val="00060884"/>
    <w:rsid w:val="00064FD5"/>
    <w:rsid w:val="000A5FF3"/>
    <w:rsid w:val="00142DC5"/>
    <w:rsid w:val="00164307"/>
    <w:rsid w:val="00164B17"/>
    <w:rsid w:val="00177E32"/>
    <w:rsid w:val="001B3767"/>
    <w:rsid w:val="001F062B"/>
    <w:rsid w:val="001F2D63"/>
    <w:rsid w:val="00206C3B"/>
    <w:rsid w:val="00210BE7"/>
    <w:rsid w:val="00216443"/>
    <w:rsid w:val="0021716A"/>
    <w:rsid w:val="00222E5C"/>
    <w:rsid w:val="0024705C"/>
    <w:rsid w:val="00252939"/>
    <w:rsid w:val="00310251"/>
    <w:rsid w:val="00366192"/>
    <w:rsid w:val="00366494"/>
    <w:rsid w:val="00375B58"/>
    <w:rsid w:val="003B47A7"/>
    <w:rsid w:val="003D3696"/>
    <w:rsid w:val="003D43B8"/>
    <w:rsid w:val="003E2DD8"/>
    <w:rsid w:val="00434700"/>
    <w:rsid w:val="00463B49"/>
    <w:rsid w:val="00472B98"/>
    <w:rsid w:val="00477928"/>
    <w:rsid w:val="00497A4C"/>
    <w:rsid w:val="004C0E90"/>
    <w:rsid w:val="00525353"/>
    <w:rsid w:val="00570156"/>
    <w:rsid w:val="00575E31"/>
    <w:rsid w:val="00583941"/>
    <w:rsid w:val="005A28B2"/>
    <w:rsid w:val="005A3615"/>
    <w:rsid w:val="005A6E1C"/>
    <w:rsid w:val="005E1EE0"/>
    <w:rsid w:val="00600A19"/>
    <w:rsid w:val="0063242A"/>
    <w:rsid w:val="00654C25"/>
    <w:rsid w:val="00674E85"/>
    <w:rsid w:val="00683332"/>
    <w:rsid w:val="00692773"/>
    <w:rsid w:val="006C42B7"/>
    <w:rsid w:val="006D66B9"/>
    <w:rsid w:val="006F2AAA"/>
    <w:rsid w:val="0079527E"/>
    <w:rsid w:val="00812E7F"/>
    <w:rsid w:val="00813566"/>
    <w:rsid w:val="0082370A"/>
    <w:rsid w:val="00831E0C"/>
    <w:rsid w:val="00837811"/>
    <w:rsid w:val="00870B92"/>
    <w:rsid w:val="00872A66"/>
    <w:rsid w:val="00895DAB"/>
    <w:rsid w:val="008C4FC7"/>
    <w:rsid w:val="008C5428"/>
    <w:rsid w:val="009039ED"/>
    <w:rsid w:val="009140B7"/>
    <w:rsid w:val="009265C2"/>
    <w:rsid w:val="00976B2C"/>
    <w:rsid w:val="00994217"/>
    <w:rsid w:val="0099544C"/>
    <w:rsid w:val="009A1488"/>
    <w:rsid w:val="009B57C3"/>
    <w:rsid w:val="009B7202"/>
    <w:rsid w:val="009F6461"/>
    <w:rsid w:val="00A16A52"/>
    <w:rsid w:val="00A32D1F"/>
    <w:rsid w:val="00A45F9F"/>
    <w:rsid w:val="00A867AB"/>
    <w:rsid w:val="00A950FC"/>
    <w:rsid w:val="00AC20DD"/>
    <w:rsid w:val="00AC32DB"/>
    <w:rsid w:val="00AE66EE"/>
    <w:rsid w:val="00B05EA8"/>
    <w:rsid w:val="00B23BBC"/>
    <w:rsid w:val="00B3218D"/>
    <w:rsid w:val="00B32314"/>
    <w:rsid w:val="00B5097A"/>
    <w:rsid w:val="00B55BAD"/>
    <w:rsid w:val="00BA0DAB"/>
    <w:rsid w:val="00C05DFF"/>
    <w:rsid w:val="00C16245"/>
    <w:rsid w:val="00C16D52"/>
    <w:rsid w:val="00C177EA"/>
    <w:rsid w:val="00C90382"/>
    <w:rsid w:val="00CB2A7C"/>
    <w:rsid w:val="00CD12D6"/>
    <w:rsid w:val="00CD50DC"/>
    <w:rsid w:val="00CE2663"/>
    <w:rsid w:val="00D02064"/>
    <w:rsid w:val="00D055A1"/>
    <w:rsid w:val="00D20AFF"/>
    <w:rsid w:val="00D64832"/>
    <w:rsid w:val="00DD6427"/>
    <w:rsid w:val="00DE0D97"/>
    <w:rsid w:val="00E312D1"/>
    <w:rsid w:val="00E54F18"/>
    <w:rsid w:val="00E71421"/>
    <w:rsid w:val="00E868E0"/>
    <w:rsid w:val="00E926AA"/>
    <w:rsid w:val="00EB34F0"/>
    <w:rsid w:val="00EE0143"/>
    <w:rsid w:val="00EE0E94"/>
    <w:rsid w:val="00EF3218"/>
    <w:rsid w:val="00F34171"/>
    <w:rsid w:val="00F55AC1"/>
    <w:rsid w:val="00F85DA0"/>
    <w:rsid w:val="00F9490D"/>
    <w:rsid w:val="00FC0600"/>
    <w:rsid w:val="00FD76DC"/>
    <w:rsid w:val="00FE2733"/>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7DF"/>
  <w15:chartTrackingRefBased/>
  <w15:docId w15:val="{4529A919-CE6B-419F-8535-66A5CC5F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E7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2E7F"/>
    <w:rPr>
      <w:sz w:val="16"/>
      <w:szCs w:val="16"/>
    </w:rPr>
  </w:style>
  <w:style w:type="paragraph" w:styleId="CommentText">
    <w:name w:val="annotation text"/>
    <w:basedOn w:val="Normal"/>
    <w:link w:val="CommentTextChar"/>
    <w:uiPriority w:val="99"/>
    <w:unhideWhenUsed/>
    <w:rsid w:val="00812E7F"/>
    <w:pPr>
      <w:spacing w:line="240" w:lineRule="auto"/>
    </w:pPr>
    <w:rPr>
      <w:sz w:val="20"/>
      <w:szCs w:val="20"/>
    </w:rPr>
  </w:style>
  <w:style w:type="character" w:customStyle="1" w:styleId="CommentTextChar">
    <w:name w:val="Comment Text Char"/>
    <w:basedOn w:val="DefaultParagraphFont"/>
    <w:link w:val="CommentText"/>
    <w:uiPriority w:val="99"/>
    <w:rsid w:val="00812E7F"/>
    <w:rPr>
      <w:sz w:val="20"/>
      <w:szCs w:val="20"/>
    </w:rPr>
  </w:style>
  <w:style w:type="paragraph" w:styleId="NoSpacing">
    <w:name w:val="No Spacing"/>
    <w:uiPriority w:val="1"/>
    <w:qFormat/>
    <w:rsid w:val="00812E7F"/>
    <w:pPr>
      <w:spacing w:after="0" w:line="240" w:lineRule="auto"/>
    </w:pPr>
  </w:style>
  <w:style w:type="character" w:styleId="Hyperlink">
    <w:name w:val="Hyperlink"/>
    <w:basedOn w:val="DefaultParagraphFont"/>
    <w:uiPriority w:val="99"/>
    <w:unhideWhenUsed/>
    <w:rsid w:val="00DD6427"/>
    <w:rPr>
      <w:color w:val="0563C1"/>
      <w:u w:val="single"/>
    </w:rPr>
  </w:style>
  <w:style w:type="paragraph" w:customStyle="1" w:styleId="xdefault">
    <w:name w:val="x_default"/>
    <w:basedOn w:val="Normal"/>
    <w:rsid w:val="00DD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uiPriority w:val="99"/>
    <w:rsid w:val="00DD6427"/>
    <w:pPr>
      <w:autoSpaceDE w:val="0"/>
      <w:autoSpaceDN w:val="0"/>
      <w:spacing w:after="0" w:line="241" w:lineRule="atLeast"/>
    </w:pPr>
    <w:rPr>
      <w:rFonts w:ascii="Acumin Variable Concept" w:hAnsi="Acumin Variable Concept" w:cs="Calibri"/>
      <w:sz w:val="24"/>
      <w:szCs w:val="24"/>
    </w:rPr>
  </w:style>
  <w:style w:type="paragraph" w:styleId="Revision">
    <w:name w:val="Revision"/>
    <w:hidden/>
    <w:uiPriority w:val="99"/>
    <w:semiHidden/>
    <w:rsid w:val="00895DAB"/>
    <w:pPr>
      <w:spacing w:after="0" w:line="240" w:lineRule="auto"/>
    </w:pPr>
  </w:style>
  <w:style w:type="character" w:customStyle="1" w:styleId="A22">
    <w:name w:val="A22"/>
    <w:uiPriority w:val="99"/>
    <w:rsid w:val="00570156"/>
    <w:rPr>
      <w:rFonts w:ascii="Lato" w:hAnsi="Lato" w:cs="Lato"/>
      <w:color w:val="205D9F"/>
      <w:sz w:val="21"/>
      <w:szCs w:val="21"/>
      <w:u w:val="single"/>
    </w:rPr>
  </w:style>
  <w:style w:type="paragraph" w:customStyle="1" w:styleId="Pa3">
    <w:name w:val="Pa3"/>
    <w:basedOn w:val="Default"/>
    <w:next w:val="Default"/>
    <w:uiPriority w:val="99"/>
    <w:rsid w:val="00570156"/>
    <w:pPr>
      <w:spacing w:line="241" w:lineRule="atLeast"/>
    </w:pPr>
    <w:rPr>
      <w:rFonts w:ascii="Lato Black" w:hAnsi="Lato Black" w:cstheme="minorBidi"/>
      <w:color w:val="auto"/>
    </w:rPr>
  </w:style>
  <w:style w:type="character" w:customStyle="1" w:styleId="A14">
    <w:name w:val="A14"/>
    <w:uiPriority w:val="99"/>
    <w:rsid w:val="00570156"/>
    <w:rPr>
      <w:rFonts w:cs="Lato Black"/>
      <w:color w:val="871A50"/>
      <w:sz w:val="22"/>
      <w:szCs w:val="22"/>
    </w:rPr>
  </w:style>
  <w:style w:type="character" w:customStyle="1" w:styleId="A21">
    <w:name w:val="A21"/>
    <w:uiPriority w:val="99"/>
    <w:rsid w:val="0024705C"/>
    <w:rPr>
      <w:rFonts w:cs="Lato"/>
      <w:color w:val="221E1F"/>
      <w:sz w:val="21"/>
      <w:szCs w:val="21"/>
    </w:rPr>
  </w:style>
  <w:style w:type="character" w:customStyle="1" w:styleId="A8">
    <w:name w:val="A8"/>
    <w:uiPriority w:val="99"/>
    <w:rsid w:val="00CB2A7C"/>
    <w:rPr>
      <w:rFonts w:cs="Acumin Pro Light"/>
      <w:color w:val="221E1F"/>
      <w:sz w:val="22"/>
      <w:szCs w:val="22"/>
    </w:rPr>
  </w:style>
  <w:style w:type="paragraph" w:styleId="ListParagraph">
    <w:name w:val="List Paragraph"/>
    <w:basedOn w:val="Normal"/>
    <w:uiPriority w:val="34"/>
    <w:qFormat/>
    <w:rsid w:val="005A6E1C"/>
    <w:pPr>
      <w:ind w:left="720"/>
      <w:contextualSpacing/>
    </w:pPr>
  </w:style>
  <w:style w:type="character" w:customStyle="1" w:styleId="apple-converted-space">
    <w:name w:val="apple-converted-space"/>
    <w:basedOn w:val="DefaultParagraphFont"/>
    <w:rsid w:val="009B7202"/>
  </w:style>
  <w:style w:type="table" w:styleId="TableGrid">
    <w:name w:val="Table Grid"/>
    <w:basedOn w:val="TableNormal"/>
    <w:uiPriority w:val="39"/>
    <w:rsid w:val="00EF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3B47A7"/>
  </w:style>
  <w:style w:type="character" w:styleId="FollowedHyperlink">
    <w:name w:val="FollowedHyperlink"/>
    <w:basedOn w:val="DefaultParagraphFont"/>
    <w:uiPriority w:val="99"/>
    <w:semiHidden/>
    <w:unhideWhenUsed/>
    <w:rsid w:val="003B4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035">
      <w:bodyDiv w:val="1"/>
      <w:marLeft w:val="0"/>
      <w:marRight w:val="0"/>
      <w:marTop w:val="0"/>
      <w:marBottom w:val="0"/>
      <w:divBdr>
        <w:top w:val="none" w:sz="0" w:space="0" w:color="auto"/>
        <w:left w:val="none" w:sz="0" w:space="0" w:color="auto"/>
        <w:bottom w:val="none" w:sz="0" w:space="0" w:color="auto"/>
        <w:right w:val="none" w:sz="0" w:space="0" w:color="auto"/>
      </w:divBdr>
    </w:div>
    <w:div w:id="196046881">
      <w:bodyDiv w:val="1"/>
      <w:marLeft w:val="0"/>
      <w:marRight w:val="0"/>
      <w:marTop w:val="0"/>
      <w:marBottom w:val="0"/>
      <w:divBdr>
        <w:top w:val="none" w:sz="0" w:space="0" w:color="auto"/>
        <w:left w:val="none" w:sz="0" w:space="0" w:color="auto"/>
        <w:bottom w:val="none" w:sz="0" w:space="0" w:color="auto"/>
        <w:right w:val="none" w:sz="0" w:space="0" w:color="auto"/>
      </w:divBdr>
    </w:div>
    <w:div w:id="205415876">
      <w:bodyDiv w:val="1"/>
      <w:marLeft w:val="0"/>
      <w:marRight w:val="0"/>
      <w:marTop w:val="0"/>
      <w:marBottom w:val="0"/>
      <w:divBdr>
        <w:top w:val="none" w:sz="0" w:space="0" w:color="auto"/>
        <w:left w:val="none" w:sz="0" w:space="0" w:color="auto"/>
        <w:bottom w:val="none" w:sz="0" w:space="0" w:color="auto"/>
        <w:right w:val="none" w:sz="0" w:space="0" w:color="auto"/>
      </w:divBdr>
    </w:div>
    <w:div w:id="255330929">
      <w:bodyDiv w:val="1"/>
      <w:marLeft w:val="0"/>
      <w:marRight w:val="0"/>
      <w:marTop w:val="0"/>
      <w:marBottom w:val="0"/>
      <w:divBdr>
        <w:top w:val="none" w:sz="0" w:space="0" w:color="auto"/>
        <w:left w:val="none" w:sz="0" w:space="0" w:color="auto"/>
        <w:bottom w:val="none" w:sz="0" w:space="0" w:color="auto"/>
        <w:right w:val="none" w:sz="0" w:space="0" w:color="auto"/>
      </w:divBdr>
    </w:div>
    <w:div w:id="319121368">
      <w:bodyDiv w:val="1"/>
      <w:marLeft w:val="0"/>
      <w:marRight w:val="0"/>
      <w:marTop w:val="0"/>
      <w:marBottom w:val="0"/>
      <w:divBdr>
        <w:top w:val="none" w:sz="0" w:space="0" w:color="auto"/>
        <w:left w:val="none" w:sz="0" w:space="0" w:color="auto"/>
        <w:bottom w:val="none" w:sz="0" w:space="0" w:color="auto"/>
        <w:right w:val="none" w:sz="0" w:space="0" w:color="auto"/>
      </w:divBdr>
    </w:div>
    <w:div w:id="324209699">
      <w:bodyDiv w:val="1"/>
      <w:marLeft w:val="0"/>
      <w:marRight w:val="0"/>
      <w:marTop w:val="0"/>
      <w:marBottom w:val="0"/>
      <w:divBdr>
        <w:top w:val="none" w:sz="0" w:space="0" w:color="auto"/>
        <w:left w:val="none" w:sz="0" w:space="0" w:color="auto"/>
        <w:bottom w:val="none" w:sz="0" w:space="0" w:color="auto"/>
        <w:right w:val="none" w:sz="0" w:space="0" w:color="auto"/>
      </w:divBdr>
    </w:div>
    <w:div w:id="393239981">
      <w:bodyDiv w:val="1"/>
      <w:marLeft w:val="0"/>
      <w:marRight w:val="0"/>
      <w:marTop w:val="0"/>
      <w:marBottom w:val="0"/>
      <w:divBdr>
        <w:top w:val="none" w:sz="0" w:space="0" w:color="auto"/>
        <w:left w:val="none" w:sz="0" w:space="0" w:color="auto"/>
        <w:bottom w:val="none" w:sz="0" w:space="0" w:color="auto"/>
        <w:right w:val="none" w:sz="0" w:space="0" w:color="auto"/>
      </w:divBdr>
    </w:div>
    <w:div w:id="444036370">
      <w:bodyDiv w:val="1"/>
      <w:marLeft w:val="0"/>
      <w:marRight w:val="0"/>
      <w:marTop w:val="0"/>
      <w:marBottom w:val="0"/>
      <w:divBdr>
        <w:top w:val="none" w:sz="0" w:space="0" w:color="auto"/>
        <w:left w:val="none" w:sz="0" w:space="0" w:color="auto"/>
        <w:bottom w:val="none" w:sz="0" w:space="0" w:color="auto"/>
        <w:right w:val="none" w:sz="0" w:space="0" w:color="auto"/>
      </w:divBdr>
    </w:div>
    <w:div w:id="598611093">
      <w:bodyDiv w:val="1"/>
      <w:marLeft w:val="0"/>
      <w:marRight w:val="0"/>
      <w:marTop w:val="0"/>
      <w:marBottom w:val="0"/>
      <w:divBdr>
        <w:top w:val="none" w:sz="0" w:space="0" w:color="auto"/>
        <w:left w:val="none" w:sz="0" w:space="0" w:color="auto"/>
        <w:bottom w:val="none" w:sz="0" w:space="0" w:color="auto"/>
        <w:right w:val="none" w:sz="0" w:space="0" w:color="auto"/>
      </w:divBdr>
    </w:div>
    <w:div w:id="606355732">
      <w:bodyDiv w:val="1"/>
      <w:marLeft w:val="0"/>
      <w:marRight w:val="0"/>
      <w:marTop w:val="0"/>
      <w:marBottom w:val="0"/>
      <w:divBdr>
        <w:top w:val="none" w:sz="0" w:space="0" w:color="auto"/>
        <w:left w:val="none" w:sz="0" w:space="0" w:color="auto"/>
        <w:bottom w:val="none" w:sz="0" w:space="0" w:color="auto"/>
        <w:right w:val="none" w:sz="0" w:space="0" w:color="auto"/>
      </w:divBdr>
    </w:div>
    <w:div w:id="751119390">
      <w:bodyDiv w:val="1"/>
      <w:marLeft w:val="0"/>
      <w:marRight w:val="0"/>
      <w:marTop w:val="0"/>
      <w:marBottom w:val="0"/>
      <w:divBdr>
        <w:top w:val="none" w:sz="0" w:space="0" w:color="auto"/>
        <w:left w:val="none" w:sz="0" w:space="0" w:color="auto"/>
        <w:bottom w:val="none" w:sz="0" w:space="0" w:color="auto"/>
        <w:right w:val="none" w:sz="0" w:space="0" w:color="auto"/>
      </w:divBdr>
    </w:div>
    <w:div w:id="1062485604">
      <w:bodyDiv w:val="1"/>
      <w:marLeft w:val="0"/>
      <w:marRight w:val="0"/>
      <w:marTop w:val="0"/>
      <w:marBottom w:val="0"/>
      <w:divBdr>
        <w:top w:val="none" w:sz="0" w:space="0" w:color="auto"/>
        <w:left w:val="none" w:sz="0" w:space="0" w:color="auto"/>
        <w:bottom w:val="none" w:sz="0" w:space="0" w:color="auto"/>
        <w:right w:val="none" w:sz="0" w:space="0" w:color="auto"/>
      </w:divBdr>
    </w:div>
    <w:div w:id="1145463424">
      <w:bodyDiv w:val="1"/>
      <w:marLeft w:val="0"/>
      <w:marRight w:val="0"/>
      <w:marTop w:val="0"/>
      <w:marBottom w:val="0"/>
      <w:divBdr>
        <w:top w:val="none" w:sz="0" w:space="0" w:color="auto"/>
        <w:left w:val="none" w:sz="0" w:space="0" w:color="auto"/>
        <w:bottom w:val="none" w:sz="0" w:space="0" w:color="auto"/>
        <w:right w:val="none" w:sz="0" w:space="0" w:color="auto"/>
      </w:divBdr>
    </w:div>
    <w:div w:id="1513061789">
      <w:bodyDiv w:val="1"/>
      <w:marLeft w:val="0"/>
      <w:marRight w:val="0"/>
      <w:marTop w:val="0"/>
      <w:marBottom w:val="0"/>
      <w:divBdr>
        <w:top w:val="none" w:sz="0" w:space="0" w:color="auto"/>
        <w:left w:val="none" w:sz="0" w:space="0" w:color="auto"/>
        <w:bottom w:val="none" w:sz="0" w:space="0" w:color="auto"/>
        <w:right w:val="none" w:sz="0" w:space="0" w:color="auto"/>
      </w:divBdr>
    </w:div>
    <w:div w:id="1667435327">
      <w:bodyDiv w:val="1"/>
      <w:marLeft w:val="0"/>
      <w:marRight w:val="0"/>
      <w:marTop w:val="0"/>
      <w:marBottom w:val="0"/>
      <w:divBdr>
        <w:top w:val="none" w:sz="0" w:space="0" w:color="auto"/>
        <w:left w:val="none" w:sz="0" w:space="0" w:color="auto"/>
        <w:bottom w:val="none" w:sz="0" w:space="0" w:color="auto"/>
        <w:right w:val="none" w:sz="0" w:space="0" w:color="auto"/>
      </w:divBdr>
    </w:div>
    <w:div w:id="1938369047">
      <w:bodyDiv w:val="1"/>
      <w:marLeft w:val="0"/>
      <w:marRight w:val="0"/>
      <w:marTop w:val="0"/>
      <w:marBottom w:val="0"/>
      <w:divBdr>
        <w:top w:val="none" w:sz="0" w:space="0" w:color="auto"/>
        <w:left w:val="none" w:sz="0" w:space="0" w:color="auto"/>
        <w:bottom w:val="none" w:sz="0" w:space="0" w:color="auto"/>
        <w:right w:val="none" w:sz="0" w:space="0" w:color="auto"/>
      </w:divBdr>
    </w:div>
    <w:div w:id="1970240238">
      <w:bodyDiv w:val="1"/>
      <w:marLeft w:val="0"/>
      <w:marRight w:val="0"/>
      <w:marTop w:val="0"/>
      <w:marBottom w:val="0"/>
      <w:divBdr>
        <w:top w:val="none" w:sz="0" w:space="0" w:color="auto"/>
        <w:left w:val="none" w:sz="0" w:space="0" w:color="auto"/>
        <w:bottom w:val="none" w:sz="0" w:space="0" w:color="auto"/>
        <w:right w:val="none" w:sz="0" w:space="0" w:color="auto"/>
      </w:divBdr>
    </w:div>
    <w:div w:id="20015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agnet.com/Magnet3/login.asp?EventKey=DWIDCGLY" TargetMode="External"/><Relationship Id="rId5" Type="http://schemas.openxmlformats.org/officeDocument/2006/relationships/numbering" Target="numbering.xml"/><Relationship Id="rId10" Type="http://schemas.openxmlformats.org/officeDocument/2006/relationships/hyperlink" Target="https://accme.org/sites/default/files/2022-06/884_20220623_Standards%20for%20Integrity%20and%20Independence%20in%20Accredited%20Continuing%20Education.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2FAE951165A44599A495BADED55BA7" ma:contentTypeVersion="0" ma:contentTypeDescription="Create a new document." ma:contentTypeScope="" ma:versionID="bce412d27b8f9c55419aeaf7a3e76ece">
  <xsd:schema xmlns:xsd="http://www.w3.org/2001/XMLSchema" xmlns:xs="http://www.w3.org/2001/XMLSchema" xmlns:p="http://schemas.microsoft.com/office/2006/metadata/properties" targetNamespace="http://schemas.microsoft.com/office/2006/metadata/properties" ma:root="true" ma:fieldsID="a42ce326cedc317751b017137e5824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B944D-BD2E-4904-B601-B085616A67EA}">
  <ds:schemaRefs>
    <ds:schemaRef ds:uri="http://schemas.openxmlformats.org/officeDocument/2006/bibliography"/>
  </ds:schemaRefs>
</ds:datastoreItem>
</file>

<file path=customXml/itemProps2.xml><?xml version="1.0" encoding="utf-8"?>
<ds:datastoreItem xmlns:ds="http://schemas.openxmlformats.org/officeDocument/2006/customXml" ds:itemID="{6F24838D-4171-49AB-BCA3-CB45C6218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2E9EA-48AE-4D49-9C3E-F845CF2A39D4}">
  <ds:schemaRefs>
    <ds:schemaRef ds:uri="http://schemas.microsoft.com/sharepoint/v3/contenttype/forms"/>
  </ds:schemaRefs>
</ds:datastoreItem>
</file>

<file path=customXml/itemProps4.xml><?xml version="1.0" encoding="utf-8"?>
<ds:datastoreItem xmlns:ds="http://schemas.openxmlformats.org/officeDocument/2006/customXml" ds:itemID="{D8769FA0-E9C7-4E94-8C2C-1DF25800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5499</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Cranston</dc:creator>
  <cp:keywords/>
  <dc:description/>
  <cp:lastModifiedBy>Nicole Cranston</cp:lastModifiedBy>
  <cp:revision>98</cp:revision>
  <dcterms:created xsi:type="dcterms:W3CDTF">2023-02-07T18:09:00Z</dcterms:created>
  <dcterms:modified xsi:type="dcterms:W3CDTF">2023-05-07T15:35:00Z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0x010100E32FAE951165A44599A495BADED55BA7</vt:lpwstr>
  </property>
</Properties>
</file>