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E2BA" w14:textId="77777777" w:rsidR="00F1724C" w:rsidRPr="00397DE8" w:rsidRDefault="00F1724C" w:rsidP="00DD6427">
      <w:pPr>
        <w:jc w:val="center"/>
        <w:rPr>
          <w:rFonts w:cstheme="minorHAnsi"/>
          <w:b/>
          <w:bCs/>
          <w:sz w:val="16"/>
          <w:szCs w:val="16"/>
        </w:rPr>
      </w:pPr>
    </w:p>
    <w:p w14:paraId="46460C80" w14:textId="1C37E174" w:rsidR="00DD6427" w:rsidRPr="009039ED" w:rsidRDefault="00DD6427" w:rsidP="00DD6427">
      <w:pPr>
        <w:jc w:val="center"/>
        <w:rPr>
          <w:rFonts w:cstheme="minorHAnsi"/>
          <w:b/>
          <w:bCs/>
        </w:rPr>
      </w:pPr>
      <w:r w:rsidRPr="009039ED">
        <w:rPr>
          <w:rFonts w:cstheme="minorHAnsi"/>
          <w:b/>
          <w:bCs/>
        </w:rPr>
        <w:t xml:space="preserve">LEARNER NOTIFICATION </w:t>
      </w:r>
    </w:p>
    <w:p w14:paraId="085A7487" w14:textId="026564C0" w:rsidR="00DD6427" w:rsidRPr="00E312D1" w:rsidRDefault="00DD6427" w:rsidP="00DD6427">
      <w:pPr>
        <w:pStyle w:val="NoSpacing"/>
        <w:rPr>
          <w:rFonts w:cstheme="minorHAnsi"/>
          <w:noProof/>
        </w:rPr>
      </w:pPr>
      <w:r w:rsidRPr="00E312D1">
        <w:rPr>
          <w:rFonts w:cstheme="minorHAnsi"/>
          <w:b/>
          <w:bCs/>
          <w:noProof/>
        </w:rPr>
        <w:t>Society of Cardiovascular Anesthesiologists</w:t>
      </w:r>
    </w:p>
    <w:p w14:paraId="257EB469" w14:textId="76C4C3B9" w:rsidR="00DC4723" w:rsidRPr="00956858" w:rsidRDefault="00895DAB" w:rsidP="00DC4723">
      <w:pPr>
        <w:pStyle w:val="NoSpacing"/>
      </w:pPr>
      <w:r w:rsidRPr="00E312D1">
        <w:rPr>
          <w:rFonts w:cstheme="minorHAnsi"/>
          <w:b/>
          <w:bCs/>
        </w:rPr>
        <w:t xml:space="preserve">Activity Title: </w:t>
      </w:r>
      <w:r w:rsidR="009B6920" w:rsidRPr="009B6920">
        <w:rPr>
          <w:rFonts w:eastAsia="Times New Roman"/>
          <w:b/>
          <w:bCs/>
        </w:rPr>
        <w:t>Echo Board Review Course</w:t>
      </w:r>
    </w:p>
    <w:p w14:paraId="5D070850" w14:textId="4482BA63" w:rsidR="00FE2733" w:rsidRPr="00E312D1" w:rsidRDefault="00FE2733" w:rsidP="00E312D1">
      <w:pPr>
        <w:pStyle w:val="NoSpacing"/>
      </w:pPr>
      <w:r w:rsidRPr="00E312D1">
        <w:rPr>
          <w:rFonts w:cstheme="minorHAnsi"/>
          <w:b/>
          <w:bCs/>
        </w:rPr>
        <w:t>Date:</w:t>
      </w:r>
      <w:r w:rsidRPr="00E312D1">
        <w:rPr>
          <w:rFonts w:cstheme="minorHAnsi"/>
        </w:rPr>
        <w:t xml:space="preserve"> </w:t>
      </w:r>
      <w:r w:rsidR="00B73F46">
        <w:rPr>
          <w:rFonts w:cstheme="minorHAnsi"/>
          <w:b/>
          <w:bCs/>
        </w:rPr>
        <w:t>May 31 – June 1, 2025</w:t>
      </w:r>
    </w:p>
    <w:p w14:paraId="41D65016" w14:textId="77777777" w:rsidR="00B73F46" w:rsidRPr="00114C79" w:rsidRDefault="00B73F46" w:rsidP="00B73F46">
      <w:pPr>
        <w:pStyle w:val="NoSpacing"/>
        <w:rPr>
          <w:rFonts w:cstheme="minorHAnsi"/>
        </w:rPr>
      </w:pPr>
      <w:r w:rsidRPr="00114C79">
        <w:rPr>
          <w:rFonts w:cstheme="minorHAnsi"/>
          <w:b/>
          <w:bCs/>
        </w:rPr>
        <w:t xml:space="preserve">Format: Live, Virtual </w:t>
      </w:r>
    </w:p>
    <w:p w14:paraId="3CABC570" w14:textId="77777777" w:rsidR="00477928" w:rsidRPr="009039ED" w:rsidRDefault="00477928" w:rsidP="00FC0600">
      <w:pPr>
        <w:pStyle w:val="NoSpacing"/>
        <w:rPr>
          <w:rFonts w:cstheme="minorHAnsi"/>
        </w:rPr>
      </w:pPr>
    </w:p>
    <w:p w14:paraId="311067F2" w14:textId="77777777" w:rsidR="00B67771" w:rsidRPr="009039ED" w:rsidRDefault="00B67771" w:rsidP="00B67771">
      <w:pPr>
        <w:pStyle w:val="NoSpacing"/>
        <w:rPr>
          <w:rFonts w:cstheme="minorHAnsi"/>
          <w:b/>
          <w:bCs/>
        </w:rPr>
      </w:pPr>
      <w:bookmarkStart w:id="0" w:name="_Hlk133325476"/>
      <w:r w:rsidRPr="009039ED">
        <w:rPr>
          <w:rFonts w:cstheme="minorHAnsi"/>
          <w:b/>
          <w:bCs/>
        </w:rPr>
        <w:t xml:space="preserve">Acknowledgement of </w:t>
      </w:r>
      <w:r>
        <w:rPr>
          <w:rFonts w:cstheme="minorHAnsi"/>
          <w:b/>
          <w:bCs/>
        </w:rPr>
        <w:t>Monetary</w:t>
      </w:r>
      <w:r w:rsidRPr="009039ED">
        <w:rPr>
          <w:rFonts w:cstheme="minorHAnsi"/>
          <w:b/>
          <w:bCs/>
        </w:rPr>
        <w:t xml:space="preserve"> Commercial Support</w:t>
      </w:r>
    </w:p>
    <w:p w14:paraId="5D7070B3" w14:textId="7128072C" w:rsidR="00B67771" w:rsidRDefault="00B67771" w:rsidP="00B67771">
      <w:pPr>
        <w:pStyle w:val="NoSpacing"/>
        <w:rPr>
          <w:rFonts w:cstheme="minorHAnsi"/>
          <w:b/>
          <w:bCs/>
        </w:rPr>
      </w:pPr>
      <w:r>
        <w:rPr>
          <w:rFonts w:cstheme="minorHAnsi"/>
        </w:rPr>
        <w:t>T</w:t>
      </w:r>
      <w:r w:rsidRPr="000F59BC">
        <w:rPr>
          <w:rFonts w:cstheme="minorHAnsi"/>
        </w:rPr>
        <w:t>he following company provided monetary support for this CME educational activity in the form of an unrestricted educational grant:</w:t>
      </w:r>
      <w:r>
        <w:rPr>
          <w:rFonts w:cstheme="minorHAnsi"/>
        </w:rPr>
        <w:t xml:space="preserve"> </w:t>
      </w:r>
      <w:r>
        <w:rPr>
          <w:rFonts w:cstheme="minorHAnsi"/>
          <w:b/>
          <w:bCs/>
        </w:rPr>
        <w:t>None</w:t>
      </w:r>
    </w:p>
    <w:p w14:paraId="3DA06F4D" w14:textId="77777777" w:rsidR="00B67771" w:rsidRPr="00397DE8" w:rsidRDefault="00B67771" w:rsidP="00B67771">
      <w:pPr>
        <w:pStyle w:val="NoSpacing"/>
        <w:rPr>
          <w:rFonts w:cstheme="minorHAnsi"/>
          <w:sz w:val="16"/>
          <w:szCs w:val="16"/>
        </w:rPr>
      </w:pPr>
    </w:p>
    <w:p w14:paraId="4EDAA281" w14:textId="77777777" w:rsidR="00B67771" w:rsidRPr="009039ED" w:rsidRDefault="00B67771" w:rsidP="00B67771">
      <w:pPr>
        <w:pStyle w:val="NoSpacing"/>
        <w:rPr>
          <w:rFonts w:cstheme="minorHAnsi"/>
          <w:b/>
          <w:bCs/>
        </w:rPr>
      </w:pPr>
      <w:r w:rsidRPr="009039ED">
        <w:rPr>
          <w:rFonts w:cstheme="minorHAnsi"/>
          <w:b/>
          <w:bCs/>
        </w:rPr>
        <w:t>Acknowledgement of In-Kind Support</w:t>
      </w:r>
    </w:p>
    <w:p w14:paraId="34991E48" w14:textId="265AFFCB" w:rsidR="00B67771" w:rsidRPr="00477928" w:rsidRDefault="00B67771" w:rsidP="00B67771">
      <w:pPr>
        <w:rPr>
          <w:rFonts w:cstheme="minorHAnsi"/>
          <w:b/>
          <w:bCs/>
          <w:color w:val="000000" w:themeColor="text1"/>
        </w:rPr>
      </w:pPr>
      <w:r w:rsidRPr="000F59BC">
        <w:rPr>
          <w:rFonts w:cstheme="minorHAnsi"/>
        </w:rPr>
        <w:t>The following compan</w:t>
      </w:r>
      <w:r>
        <w:rPr>
          <w:rFonts w:cstheme="minorHAnsi"/>
        </w:rPr>
        <w:t>ies</w:t>
      </w:r>
      <w:r w:rsidRPr="000F59BC">
        <w:rPr>
          <w:rFonts w:cstheme="minorHAnsi"/>
        </w:rPr>
        <w:t xml:space="preserve"> provided </w:t>
      </w:r>
      <w:r>
        <w:rPr>
          <w:rFonts w:cstheme="minorHAnsi"/>
        </w:rPr>
        <w:t>in-kind</w:t>
      </w:r>
      <w:r w:rsidRPr="000F59BC">
        <w:rPr>
          <w:rFonts w:cstheme="minorHAnsi"/>
        </w:rPr>
        <w:t xml:space="preserve"> support for this </w:t>
      </w:r>
      <w:r w:rsidRPr="0002546E">
        <w:rPr>
          <w:rFonts w:cstheme="minorHAnsi"/>
        </w:rPr>
        <w:t xml:space="preserve">CME educational activity: </w:t>
      </w:r>
      <w:r>
        <w:rPr>
          <w:rStyle w:val="A14"/>
          <w:rFonts w:cstheme="minorHAnsi"/>
          <w:b/>
          <w:bCs/>
          <w:color w:val="auto"/>
        </w:rPr>
        <w:t xml:space="preserve">None </w:t>
      </w:r>
    </w:p>
    <w:p w14:paraId="6D2E2B78" w14:textId="77777777" w:rsidR="00DD6427" w:rsidRPr="009039ED" w:rsidRDefault="00DD6427" w:rsidP="00DD6427">
      <w:pPr>
        <w:pStyle w:val="NoSpacing"/>
        <w:rPr>
          <w:rFonts w:cstheme="minorHAnsi"/>
          <w:b/>
          <w:bCs/>
          <w:u w:val="single"/>
        </w:rPr>
      </w:pPr>
      <w:r w:rsidRPr="009039ED">
        <w:rPr>
          <w:rFonts w:cstheme="minorHAnsi"/>
          <w:b/>
          <w:bCs/>
          <w:noProof/>
          <w:u w:val="single"/>
        </w:rPr>
        <w:drawing>
          <wp:anchor distT="0" distB="0" distL="114300" distR="114300" simplePos="0" relativeHeight="251659264" behindDoc="0" locked="0" layoutInCell="1" allowOverlap="1" wp14:anchorId="35154771" wp14:editId="0C6286A2">
            <wp:simplePos x="0" y="0"/>
            <wp:positionH relativeFrom="margin">
              <wp:align>left</wp:align>
            </wp:positionH>
            <wp:positionV relativeFrom="paragraph">
              <wp:posOffset>12065</wp:posOffset>
            </wp:positionV>
            <wp:extent cx="619125" cy="875030"/>
            <wp:effectExtent l="0" t="0" r="9525" b="127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875030"/>
                    </a:xfrm>
                    <a:prstGeom prst="rect">
                      <a:avLst/>
                    </a:prstGeom>
                  </pic:spPr>
                </pic:pic>
              </a:graphicData>
            </a:graphic>
          </wp:anchor>
        </w:drawing>
      </w:r>
      <w:r w:rsidRPr="009039ED">
        <w:rPr>
          <w:rFonts w:cstheme="minorHAnsi"/>
          <w:b/>
          <w:bCs/>
          <w:u w:val="single"/>
        </w:rPr>
        <w:t>Accreditation Statement</w:t>
      </w:r>
    </w:p>
    <w:p w14:paraId="5AAE2CD2" w14:textId="77777777" w:rsidR="00BA0DAB" w:rsidRPr="009039ED" w:rsidRDefault="006D66B9" w:rsidP="00DD6427">
      <w:pPr>
        <w:rPr>
          <w:rFonts w:cstheme="minorHAnsi"/>
        </w:rPr>
      </w:pPr>
      <w:r w:rsidRPr="009039ED">
        <w:rPr>
          <w:rFonts w:cstheme="minorHAnsi"/>
        </w:rPr>
        <w:t xml:space="preserve">The Society of Cardiovascular Anesthesiologists is accredited by the Accreditation Council for Continuing Medical Education (ACCME) to provide continuing medical education for physicians. </w:t>
      </w:r>
    </w:p>
    <w:p w14:paraId="134AD416" w14:textId="07793AC5" w:rsidR="00BA0DAB" w:rsidRDefault="00BA0DAB" w:rsidP="00BA0DAB">
      <w:pPr>
        <w:pStyle w:val="NoSpacing"/>
        <w:rPr>
          <w:rFonts w:cstheme="minorHAnsi"/>
        </w:rPr>
      </w:pPr>
      <w:r w:rsidRPr="009039ED">
        <w:rPr>
          <w:rFonts w:cstheme="minorHAnsi"/>
        </w:rPr>
        <w:t xml:space="preserve">The Society of Cardiovascular Anesthesiologists designates this </w:t>
      </w:r>
      <w:r w:rsidR="00974A68" w:rsidRPr="00C1635D">
        <w:rPr>
          <w:rFonts w:cstheme="minorHAnsi"/>
        </w:rPr>
        <w:t xml:space="preserve">virtual-live </w:t>
      </w:r>
      <w:r w:rsidRPr="009039ED">
        <w:rPr>
          <w:rFonts w:cstheme="minorHAnsi"/>
        </w:rPr>
        <w:t xml:space="preserve">activity for a maximum </w:t>
      </w:r>
      <w:r w:rsidRPr="005E508D">
        <w:rPr>
          <w:rFonts w:cstheme="minorHAnsi"/>
        </w:rPr>
        <w:t xml:space="preserve">of </w:t>
      </w:r>
      <w:r w:rsidR="00FC76D0" w:rsidRPr="00AB4057">
        <w:rPr>
          <w:rFonts w:cstheme="minorHAnsi"/>
        </w:rPr>
        <w:t>1</w:t>
      </w:r>
      <w:r w:rsidR="00F1724C">
        <w:rPr>
          <w:rFonts w:cstheme="minorHAnsi"/>
        </w:rPr>
        <w:t>2</w:t>
      </w:r>
      <w:r w:rsidR="00DC4723" w:rsidRPr="00AB4057">
        <w:rPr>
          <w:rFonts w:cstheme="minorHAnsi"/>
        </w:rPr>
        <w:t>.</w:t>
      </w:r>
      <w:r w:rsidR="00EC22A6">
        <w:rPr>
          <w:rFonts w:cstheme="minorHAnsi"/>
        </w:rPr>
        <w:t xml:space="preserve">0 </w:t>
      </w:r>
      <w:r w:rsidRPr="005E508D">
        <w:rPr>
          <w:rFonts w:cstheme="minorHAnsi"/>
          <w:i/>
          <w:iCs/>
        </w:rPr>
        <w:t>AMA PRA Category 1 Credits</w:t>
      </w:r>
      <w:r w:rsidRPr="005E508D">
        <w:rPr>
          <w:rFonts w:cstheme="minorHAnsi"/>
        </w:rPr>
        <w:t>™</w:t>
      </w:r>
      <w:r w:rsidR="00397DE8">
        <w:rPr>
          <w:rFonts w:cstheme="minorHAnsi"/>
        </w:rPr>
        <w:t xml:space="preserve">. </w:t>
      </w:r>
      <w:r w:rsidRPr="009039ED">
        <w:rPr>
          <w:rFonts w:cstheme="minorHAnsi"/>
        </w:rPr>
        <w:t xml:space="preserve">Physicians should claim only the credit commensurate with the extent of their participation in the activity. </w:t>
      </w:r>
    </w:p>
    <w:bookmarkEnd w:id="0"/>
    <w:p w14:paraId="60158F61" w14:textId="4749E13B" w:rsidR="00BA0DAB" w:rsidRPr="00397DE8" w:rsidRDefault="00BA0DAB" w:rsidP="00BA0DAB">
      <w:pPr>
        <w:pStyle w:val="NoSpacing"/>
        <w:rPr>
          <w:rFonts w:cstheme="minorHAnsi"/>
          <w:sz w:val="16"/>
          <w:szCs w:val="16"/>
        </w:rPr>
      </w:pPr>
    </w:p>
    <w:p w14:paraId="78526CFF" w14:textId="3D541051" w:rsidR="00FE2733" w:rsidRPr="002667CA" w:rsidRDefault="00FE2733" w:rsidP="00BA0DAB">
      <w:pPr>
        <w:pStyle w:val="NoSpacing"/>
        <w:rPr>
          <w:rFonts w:cstheme="minorHAnsi"/>
          <w:b/>
          <w:bCs/>
        </w:rPr>
      </w:pPr>
      <w:r w:rsidRPr="002667CA">
        <w:rPr>
          <w:rFonts w:cstheme="minorHAnsi"/>
          <w:b/>
          <w:bCs/>
        </w:rPr>
        <w:t>Description:</w:t>
      </w:r>
    </w:p>
    <w:p w14:paraId="68C8D40A" w14:textId="77777777" w:rsidR="00EB316B" w:rsidRDefault="00EB316B" w:rsidP="00EB316B">
      <w:pPr>
        <w:pStyle w:val="NoSpacing"/>
      </w:pPr>
      <w:r w:rsidRPr="00E55922">
        <w:t xml:space="preserve">The Echo Board Review Course is a two-day educational program designed for anesthesiology professionals, including residents, fellows, and attending physicians who use perioperative transesophageal echocardiography (TEE) </w:t>
      </w:r>
      <w:r>
        <w:t>during</w:t>
      </w:r>
      <w:r w:rsidRPr="00E55922">
        <w:t xml:space="preserve"> cardiac surgery. Aimed at individuals preparing for the National Board of Echocardiography's Advanced </w:t>
      </w:r>
      <w:proofErr w:type="spellStart"/>
      <w:r w:rsidRPr="00E55922">
        <w:t>PTEeXAM</w:t>
      </w:r>
      <w:proofErr w:type="spellEnd"/>
      <w:r>
        <w:t xml:space="preserve">, </w:t>
      </w:r>
      <w:r w:rsidRPr="00E55922">
        <w:t xml:space="preserve">this course </w:t>
      </w:r>
      <w:r>
        <w:t>aims to cover</w:t>
      </w:r>
      <w:r w:rsidRPr="00E55922">
        <w:t xml:space="preserve"> the core principles of TEE</w:t>
      </w:r>
      <w:r>
        <w:t xml:space="preserve"> as well as </w:t>
      </w:r>
      <w:r w:rsidRPr="00E55922">
        <w:t>advanced imaging techniques, ultrasound physics, and hemodynamic calculations based on ultrasound principles.</w:t>
      </w:r>
    </w:p>
    <w:p w14:paraId="6804BF59" w14:textId="77777777" w:rsidR="00EB316B" w:rsidRDefault="00EB316B" w:rsidP="00EB316B">
      <w:pPr>
        <w:pStyle w:val="NoSpacing"/>
      </w:pPr>
    </w:p>
    <w:p w14:paraId="74161DFC" w14:textId="78993347" w:rsidR="00895DAB" w:rsidRPr="002667CA" w:rsidRDefault="00895DAB" w:rsidP="00895DAB">
      <w:pPr>
        <w:rPr>
          <w:rFonts w:cstheme="minorHAnsi"/>
          <w:b/>
          <w:bCs/>
          <w:u w:val="single"/>
        </w:rPr>
      </w:pPr>
      <w:r w:rsidRPr="002667CA">
        <w:rPr>
          <w:rFonts w:cstheme="minorHAnsi"/>
          <w:b/>
          <w:bCs/>
          <w:u w:val="single"/>
        </w:rPr>
        <w:t>Educational Information</w:t>
      </w:r>
    </w:p>
    <w:p w14:paraId="0F893F0A" w14:textId="3ED6FCE1" w:rsidR="00895DAB" w:rsidRPr="002667CA" w:rsidRDefault="00895DAB" w:rsidP="00EB34F0">
      <w:pPr>
        <w:pStyle w:val="NoSpacing"/>
        <w:rPr>
          <w:b/>
          <w:bCs/>
        </w:rPr>
      </w:pPr>
      <w:r w:rsidRPr="002667CA">
        <w:rPr>
          <w:b/>
          <w:bCs/>
        </w:rPr>
        <w:t xml:space="preserve">Physician Practice Gap: </w:t>
      </w:r>
    </w:p>
    <w:p w14:paraId="459F6649" w14:textId="0D9365A2" w:rsidR="000A6936" w:rsidRDefault="001D613D" w:rsidP="0063242A">
      <w:pPr>
        <w:pStyle w:val="NoSpacing"/>
      </w:pPr>
      <w:r w:rsidRPr="001D613D">
        <w:t>A common practice gap is the lack of deep understanding of ultrasound physics among anesthesiologists, which is crucial for accurate image interpretation and diagnosis. Another gap is the underutilization or incorrect application of hemodynamic calculations based on ultrasound principles, leading to suboptimal patient management.</w:t>
      </w:r>
    </w:p>
    <w:p w14:paraId="64EB269B" w14:textId="77777777" w:rsidR="001D613D" w:rsidRPr="002667CA" w:rsidRDefault="001D613D" w:rsidP="0063242A">
      <w:pPr>
        <w:pStyle w:val="NoSpacing"/>
      </w:pPr>
    </w:p>
    <w:p w14:paraId="6289E449" w14:textId="77777777" w:rsidR="00DA24AC" w:rsidRDefault="00DA24AC" w:rsidP="00EB34F0">
      <w:pPr>
        <w:pStyle w:val="NoSpacing"/>
        <w:rPr>
          <w:b/>
          <w:bCs/>
        </w:rPr>
      </w:pPr>
    </w:p>
    <w:p w14:paraId="1F442B17" w14:textId="187884C3" w:rsidR="00895DAB" w:rsidRPr="002667CA" w:rsidRDefault="00895DAB" w:rsidP="00EB34F0">
      <w:pPr>
        <w:pStyle w:val="NoSpacing"/>
        <w:rPr>
          <w:b/>
          <w:bCs/>
        </w:rPr>
      </w:pPr>
      <w:r w:rsidRPr="002667CA">
        <w:rPr>
          <w:b/>
          <w:bCs/>
        </w:rPr>
        <w:t>Needs that Underlie the Gap</w:t>
      </w:r>
    </w:p>
    <w:p w14:paraId="799F47F8" w14:textId="0482131A" w:rsidR="000C108D" w:rsidRDefault="000A6936" w:rsidP="009265C2">
      <w:pPr>
        <w:spacing w:after="60"/>
      </w:pPr>
      <w:r w:rsidRPr="000A6936">
        <w:t xml:space="preserve">There is a need to provide educational support to physicians who propose to </w:t>
      </w:r>
      <w:r w:rsidR="00F06AD4" w:rsidRPr="000A6936">
        <w:t>undertake</w:t>
      </w:r>
      <w:r w:rsidRPr="000A6936">
        <w:t xml:space="preserve"> the national board of echocardiography advanced examination of special competence in advanced perioperative </w:t>
      </w:r>
      <w:r w:rsidR="00F06AD4" w:rsidRPr="000A6936">
        <w:t>transesophageal</w:t>
      </w:r>
      <w:r w:rsidRPr="000A6936">
        <w:t xml:space="preserve"> echocardiography.</w:t>
      </w:r>
    </w:p>
    <w:p w14:paraId="36119E62" w14:textId="77777777" w:rsidR="00DA24AC" w:rsidRPr="00397DE8" w:rsidRDefault="00DA24AC" w:rsidP="004C0E90">
      <w:pPr>
        <w:spacing w:after="60"/>
        <w:rPr>
          <w:rFonts w:cstheme="minorHAnsi"/>
          <w:b/>
          <w:bCs/>
          <w:sz w:val="16"/>
          <w:szCs w:val="16"/>
        </w:rPr>
      </w:pPr>
    </w:p>
    <w:p w14:paraId="15638B15" w14:textId="57AD7FED" w:rsidR="008C4FC7" w:rsidRPr="002667CA" w:rsidRDefault="00895DAB" w:rsidP="004C0E90">
      <w:pPr>
        <w:spacing w:after="60"/>
        <w:rPr>
          <w:rFonts w:cstheme="minorHAnsi"/>
        </w:rPr>
      </w:pPr>
      <w:r w:rsidRPr="002667CA">
        <w:rPr>
          <w:rFonts w:cstheme="minorHAnsi"/>
          <w:b/>
          <w:bCs/>
        </w:rPr>
        <w:t>DESIGNED to Change/Outcome</w:t>
      </w:r>
      <w:r w:rsidRPr="002667CA">
        <w:rPr>
          <w:rFonts w:cstheme="minorHAnsi"/>
        </w:rPr>
        <w:t xml:space="preserve">: Following this activity, learners will develop competence </w:t>
      </w:r>
      <w:r w:rsidR="00310251" w:rsidRPr="002667CA">
        <w:rPr>
          <w:rFonts w:cstheme="minorHAnsi"/>
        </w:rPr>
        <w:t xml:space="preserve">by increasing </w:t>
      </w:r>
      <w:r w:rsidR="00870B92" w:rsidRPr="002667CA">
        <w:rPr>
          <w:rFonts w:cstheme="minorHAnsi"/>
        </w:rPr>
        <w:t xml:space="preserve">their knowledge through a combination of hands-on learning, </w:t>
      </w:r>
      <w:r w:rsidR="00E54F18" w:rsidRPr="002667CA">
        <w:rPr>
          <w:rFonts w:cstheme="minorHAnsi"/>
        </w:rPr>
        <w:t>case-based</w:t>
      </w:r>
      <w:r w:rsidR="00870B92" w:rsidRPr="002667CA">
        <w:rPr>
          <w:rFonts w:cstheme="minorHAnsi"/>
        </w:rPr>
        <w:t xml:space="preserve"> presentations, and online lectures. Knowledge will be assessed with a pre-test and post-test. </w:t>
      </w:r>
    </w:p>
    <w:p w14:paraId="0FBDBBEE" w14:textId="0D236D0B" w:rsidR="00D90E3E" w:rsidRDefault="000A6936" w:rsidP="00EB34F0">
      <w:pPr>
        <w:pStyle w:val="NoSpacing"/>
      </w:pPr>
      <w:r w:rsidRPr="000A6936">
        <w:t xml:space="preserve">Liaison with the National Board of Echocardiography about the percentage of participants of this course who go on to pass the national board of echocardiography advanced examination of special competence in advanced perioperative </w:t>
      </w:r>
      <w:r w:rsidR="00F06AD4" w:rsidRPr="000A6936">
        <w:t>transesophageal</w:t>
      </w:r>
      <w:r w:rsidRPr="000A6936">
        <w:t xml:space="preserve"> echocardiography.</w:t>
      </w:r>
    </w:p>
    <w:p w14:paraId="1B28DFA7" w14:textId="77777777" w:rsidR="000A6936" w:rsidRPr="00397DE8" w:rsidRDefault="000A6936" w:rsidP="00EB34F0">
      <w:pPr>
        <w:pStyle w:val="NoSpacing"/>
        <w:rPr>
          <w:sz w:val="16"/>
          <w:szCs w:val="16"/>
        </w:rPr>
      </w:pPr>
    </w:p>
    <w:p w14:paraId="283C5C58" w14:textId="34CAC823" w:rsidR="00FE2733" w:rsidRPr="002667CA" w:rsidRDefault="00FE2733" w:rsidP="00EB34F0">
      <w:pPr>
        <w:pStyle w:val="NoSpacing"/>
        <w:rPr>
          <w:b/>
          <w:bCs/>
        </w:rPr>
      </w:pPr>
      <w:r w:rsidRPr="002667CA">
        <w:rPr>
          <w:b/>
          <w:bCs/>
        </w:rPr>
        <w:t>Educational Objectives</w:t>
      </w:r>
    </w:p>
    <w:p w14:paraId="234D5C97" w14:textId="77777777" w:rsidR="00461D5B" w:rsidRPr="002667CA" w:rsidRDefault="00FE2733" w:rsidP="00461D5B">
      <w:pPr>
        <w:pStyle w:val="NoSpacing"/>
      </w:pPr>
      <w:r w:rsidRPr="002667CA">
        <w:rPr>
          <w:i/>
          <w:iCs/>
        </w:rPr>
        <w:t>After completing this activity, the participant should be better able to:</w:t>
      </w:r>
    </w:p>
    <w:p w14:paraId="2565BE38" w14:textId="77777777" w:rsidR="00EB316B" w:rsidRPr="00EB316B" w:rsidRDefault="00EB316B" w:rsidP="00EB316B">
      <w:pPr>
        <w:pStyle w:val="NoSpacing"/>
        <w:numPr>
          <w:ilvl w:val="0"/>
          <w:numId w:val="11"/>
        </w:numPr>
        <w:rPr>
          <w:rFonts w:cstheme="minorHAnsi"/>
        </w:rPr>
      </w:pPr>
      <w:bookmarkStart w:id="1" w:name="_Hlk168045340"/>
      <w:r w:rsidRPr="00EB316B">
        <w:rPr>
          <w:rFonts w:cstheme="minorHAnsi"/>
        </w:rPr>
        <w:t>Review the fundamentals of ultrasound physics.</w:t>
      </w:r>
    </w:p>
    <w:p w14:paraId="4B3F42C2" w14:textId="77777777" w:rsidR="00EB316B" w:rsidRPr="00EB316B" w:rsidRDefault="00EB316B" w:rsidP="00EB316B">
      <w:pPr>
        <w:pStyle w:val="NoSpacing"/>
        <w:numPr>
          <w:ilvl w:val="0"/>
          <w:numId w:val="11"/>
        </w:numPr>
        <w:rPr>
          <w:rFonts w:cstheme="minorHAnsi"/>
        </w:rPr>
      </w:pPr>
      <w:r w:rsidRPr="00EB316B">
        <w:rPr>
          <w:rFonts w:cstheme="minorHAnsi"/>
        </w:rPr>
        <w:t>Perform hemodynamic calculations using ultrasound.</w:t>
      </w:r>
    </w:p>
    <w:p w14:paraId="54F0F334" w14:textId="77777777" w:rsidR="00EB316B" w:rsidRPr="00EB316B" w:rsidRDefault="00EB316B" w:rsidP="00EB316B">
      <w:pPr>
        <w:pStyle w:val="NoSpacing"/>
        <w:numPr>
          <w:ilvl w:val="0"/>
          <w:numId w:val="11"/>
        </w:numPr>
        <w:rPr>
          <w:rFonts w:cstheme="minorHAnsi"/>
        </w:rPr>
      </w:pPr>
      <w:r w:rsidRPr="00EB316B">
        <w:rPr>
          <w:rFonts w:cstheme="minorHAnsi"/>
        </w:rPr>
        <w:t>Define the clinical application of two and three-dimensional echocardiographic imaging and use of Doppler principle to assess normal and abnormal cardiac states.</w:t>
      </w:r>
    </w:p>
    <w:p w14:paraId="3AAEECDB" w14:textId="77777777" w:rsidR="00EB316B" w:rsidRPr="00EB316B" w:rsidRDefault="00EB316B" w:rsidP="00EB316B">
      <w:pPr>
        <w:pStyle w:val="NoSpacing"/>
        <w:numPr>
          <w:ilvl w:val="0"/>
          <w:numId w:val="11"/>
        </w:numPr>
        <w:rPr>
          <w:rFonts w:cstheme="minorHAnsi"/>
        </w:rPr>
      </w:pPr>
      <w:r w:rsidRPr="00EB316B">
        <w:rPr>
          <w:rFonts w:cstheme="minorHAnsi"/>
        </w:rPr>
        <w:t>Discuss the normal and abnormal anatomy and function of the native and implanted valves using 2D/3D imaging and Doppler derived quantification.</w:t>
      </w:r>
    </w:p>
    <w:p w14:paraId="63C154AA" w14:textId="77777777" w:rsidR="00EB316B" w:rsidRPr="00EB316B" w:rsidRDefault="00EB316B" w:rsidP="00EB316B">
      <w:pPr>
        <w:pStyle w:val="NoSpacing"/>
        <w:numPr>
          <w:ilvl w:val="0"/>
          <w:numId w:val="11"/>
        </w:numPr>
        <w:rPr>
          <w:rFonts w:cstheme="minorHAnsi"/>
        </w:rPr>
      </w:pPr>
      <w:r w:rsidRPr="00EB316B">
        <w:rPr>
          <w:rFonts w:cstheme="minorHAnsi"/>
        </w:rPr>
        <w:t>Assess the integral role of echocardiography guided decision-making in complex surgery, percutaneous therapies, and clinical dilemmas.</w:t>
      </w:r>
    </w:p>
    <w:p w14:paraId="0A4B265B" w14:textId="77777777" w:rsidR="004D7451" w:rsidRPr="00397DE8" w:rsidRDefault="004D7451" w:rsidP="005A3615">
      <w:pPr>
        <w:pStyle w:val="NoSpacing"/>
        <w:rPr>
          <w:b/>
          <w:bCs/>
          <w:sz w:val="16"/>
          <w:szCs w:val="16"/>
        </w:rPr>
      </w:pPr>
    </w:p>
    <w:bookmarkEnd w:id="1"/>
    <w:p w14:paraId="07C74269" w14:textId="08B45C72" w:rsidR="00895DAB" w:rsidRPr="005A3615" w:rsidRDefault="00895DAB" w:rsidP="005A3615">
      <w:pPr>
        <w:pStyle w:val="NoSpacing"/>
        <w:rPr>
          <w:b/>
          <w:bCs/>
        </w:rPr>
      </w:pPr>
      <w:r w:rsidRPr="005A3615">
        <w:rPr>
          <w:b/>
          <w:bCs/>
        </w:rPr>
        <w:t xml:space="preserve">Satisfactory Completion  </w:t>
      </w:r>
    </w:p>
    <w:p w14:paraId="024B728A" w14:textId="58F624FA" w:rsidR="00895DAB" w:rsidRPr="005A3615" w:rsidRDefault="00895DAB" w:rsidP="005A3615">
      <w:pPr>
        <w:pStyle w:val="NoSpacing"/>
      </w:pPr>
      <w:r w:rsidRPr="005A3615">
        <w:t xml:space="preserve">Learners must complete an evaluation form to receive a certificate of completion. Partial credit </w:t>
      </w:r>
      <w:r w:rsidR="00870FDC" w:rsidRPr="005A3615">
        <w:t>for</w:t>
      </w:r>
      <w:r w:rsidRPr="005A3615">
        <w:t xml:space="preserve"> individual sessions is not available. </w:t>
      </w:r>
    </w:p>
    <w:p w14:paraId="2A9F94D9" w14:textId="77777777" w:rsidR="005A3615" w:rsidRPr="00397DE8" w:rsidRDefault="005A3615" w:rsidP="005A3615">
      <w:pPr>
        <w:pStyle w:val="NoSpacing"/>
        <w:rPr>
          <w:sz w:val="16"/>
          <w:szCs w:val="16"/>
        </w:rPr>
      </w:pPr>
    </w:p>
    <w:p w14:paraId="6B6137A6" w14:textId="376EA43D" w:rsidR="009039ED" w:rsidRPr="005A3615" w:rsidRDefault="009039ED" w:rsidP="005A3615">
      <w:pPr>
        <w:pStyle w:val="NoSpacing"/>
        <w:rPr>
          <w:b/>
          <w:bCs/>
        </w:rPr>
      </w:pPr>
      <w:r w:rsidRPr="005A3615">
        <w:rPr>
          <w:b/>
          <w:bCs/>
        </w:rPr>
        <w:t xml:space="preserve">Contact Information </w:t>
      </w:r>
    </w:p>
    <w:p w14:paraId="686D1F30" w14:textId="2560AC57" w:rsidR="00B67771" w:rsidRPr="00675561" w:rsidRDefault="009039ED" w:rsidP="00675561">
      <w:pPr>
        <w:pStyle w:val="NormalWeb"/>
      </w:pPr>
      <w:r w:rsidRPr="00EB34F0">
        <w:t>If you have questions regarding your CME certificate</w:t>
      </w:r>
      <w:r w:rsidRPr="006F2AAA">
        <w:t xml:space="preserve">, please </w:t>
      </w:r>
      <w:r w:rsidRPr="006F2AAA">
        <w:rPr>
          <w:rFonts w:cstheme="minorHAnsi"/>
        </w:rPr>
        <w:t>contact</w:t>
      </w:r>
      <w:r w:rsidR="00B67771">
        <w:rPr>
          <w:rFonts w:cstheme="minorHAnsi"/>
        </w:rPr>
        <w:t xml:space="preserve"> </w:t>
      </w:r>
      <w:r w:rsidR="00EB316B" w:rsidRPr="00EB316B">
        <w:t>Natalie Baus</w:t>
      </w:r>
      <w:r w:rsidR="002F2025">
        <w:t xml:space="preserve">, </w:t>
      </w:r>
      <w:hyperlink r:id="rId12" w:tooltip="mailto:nbaus@veritasamc.com" w:history="1">
        <w:r w:rsidR="00EB316B" w:rsidRPr="00EB316B">
          <w:rPr>
            <w:rStyle w:val="Hyperlink"/>
          </w:rPr>
          <w:t>nbaus@veritasamc.com</w:t>
        </w:r>
      </w:hyperlink>
      <w:r w:rsidR="002F2025">
        <w:t>.</w:t>
      </w:r>
    </w:p>
    <w:p w14:paraId="02F46199" w14:textId="77777777" w:rsidR="009039ED" w:rsidRPr="00397DE8" w:rsidRDefault="009039ED" w:rsidP="00812E7F">
      <w:pPr>
        <w:pStyle w:val="NoSpacing"/>
        <w:rPr>
          <w:rFonts w:cstheme="minorHAnsi"/>
          <w:b/>
          <w:bCs/>
          <w:sz w:val="16"/>
          <w:szCs w:val="16"/>
        </w:rPr>
      </w:pPr>
    </w:p>
    <w:p w14:paraId="1BF1A38A" w14:textId="790CDEFE" w:rsidR="00895DAB" w:rsidRPr="005E508D" w:rsidRDefault="00895DAB" w:rsidP="00EB34F0">
      <w:pPr>
        <w:pStyle w:val="NoSpacing"/>
        <w:rPr>
          <w:rFonts w:cstheme="minorHAnsi"/>
          <w:b/>
          <w:bCs/>
        </w:rPr>
      </w:pPr>
      <w:r w:rsidRPr="000F59BC">
        <w:rPr>
          <w:rFonts w:cstheme="minorHAnsi"/>
          <w:b/>
          <w:bCs/>
        </w:rPr>
        <w:t>Disclosure of Financial Relationships</w:t>
      </w:r>
    </w:p>
    <w:p w14:paraId="33334BAA" w14:textId="5CF5F608" w:rsidR="00644251" w:rsidRDefault="00C71182" w:rsidP="00CD50DC">
      <w:pPr>
        <w:rPr>
          <w:rFonts w:cstheme="minorHAnsi"/>
        </w:rPr>
      </w:pPr>
      <w:r w:rsidRPr="005E508D">
        <w:rPr>
          <w:rStyle w:val="contentpasted0"/>
          <w:rFonts w:cstheme="minorHAnsi"/>
        </w:rPr>
        <w:t xml:space="preserve">As an accredited provider of the ACCME, SCA adheres to all </w:t>
      </w:r>
      <w:hyperlink r:id="rId13" w:history="1">
        <w:r w:rsidRPr="005E508D">
          <w:rPr>
            <w:rStyle w:val="Hyperlink"/>
            <w:rFonts w:cstheme="minorHAnsi"/>
            <w:color w:val="auto"/>
          </w:rPr>
          <w:t>ACCME Standards for Integrity and Independence in Accredited Continuing Education</w:t>
        </w:r>
      </w:hyperlink>
      <w:r w:rsidRPr="005E508D">
        <w:rPr>
          <w:rStyle w:val="contentpasted0"/>
          <w:rFonts w:cstheme="minorHAnsi"/>
        </w:rPr>
        <w:t xml:space="preserve">. SCA collects disclosures from all individuals who have the ability to control the content of CME activities. </w:t>
      </w:r>
      <w:r w:rsidR="00895DAB" w:rsidRPr="005E508D">
        <w:rPr>
          <w:rFonts w:cstheme="minorHAnsi"/>
        </w:rPr>
        <w:t xml:space="preserve">The following individuals in control of content development for this activity have indicated that they do have financial relationships with ACCME defined ineligible companies within the past 24 months. All financial relationships have been mitigated. No one in control of content is an employee or owner of an ACCME defined ineligible company.  All others in control of content not </w:t>
      </w:r>
      <w:r w:rsidR="00895DAB" w:rsidRPr="000F59BC">
        <w:rPr>
          <w:rFonts w:cstheme="minorHAnsi"/>
        </w:rPr>
        <w:t xml:space="preserve">listed below have indicated that they have no financial relationships to disclose. </w:t>
      </w:r>
    </w:p>
    <w:p w14:paraId="27375FFA" w14:textId="77777777" w:rsidR="00DA24AC" w:rsidRPr="00DA24AC" w:rsidRDefault="00DA24AC" w:rsidP="00CD50DC">
      <w:pPr>
        <w:rPr>
          <w:rFonts w:cstheme="minorHAnsi"/>
        </w:rPr>
      </w:pPr>
    </w:p>
    <w:tbl>
      <w:tblPr>
        <w:tblStyle w:val="TableGrid"/>
        <w:tblW w:w="0" w:type="auto"/>
        <w:tblLook w:val="04A0" w:firstRow="1" w:lastRow="0" w:firstColumn="1" w:lastColumn="0" w:noHBand="0" w:noVBand="1"/>
      </w:tblPr>
      <w:tblGrid>
        <w:gridCol w:w="2590"/>
        <w:gridCol w:w="1185"/>
        <w:gridCol w:w="3995"/>
        <w:gridCol w:w="2590"/>
        <w:gridCol w:w="2590"/>
      </w:tblGrid>
      <w:tr w:rsidR="00072351" w:rsidRPr="009E1821" w14:paraId="7C59C1DC" w14:textId="77777777" w:rsidTr="00110F85">
        <w:tc>
          <w:tcPr>
            <w:tcW w:w="2590" w:type="dxa"/>
          </w:tcPr>
          <w:p w14:paraId="4928F958" w14:textId="77777777" w:rsidR="00072351" w:rsidRPr="009E1821" w:rsidRDefault="00072351" w:rsidP="00110F85">
            <w:pPr>
              <w:rPr>
                <w:rFonts w:cstheme="minorHAnsi"/>
                <w:b/>
                <w:bCs/>
                <w:sz w:val="20"/>
                <w:szCs w:val="20"/>
              </w:rPr>
            </w:pPr>
            <w:r w:rsidRPr="009E1821">
              <w:rPr>
                <w:rFonts w:cstheme="minorHAnsi"/>
                <w:b/>
                <w:bCs/>
                <w:sz w:val="20"/>
                <w:szCs w:val="20"/>
              </w:rPr>
              <w:t xml:space="preserve">Last Name </w:t>
            </w:r>
          </w:p>
        </w:tc>
        <w:tc>
          <w:tcPr>
            <w:tcW w:w="1185" w:type="dxa"/>
          </w:tcPr>
          <w:p w14:paraId="43F287F3" w14:textId="77777777" w:rsidR="00072351" w:rsidRPr="009E1821" w:rsidRDefault="00072351" w:rsidP="00110F85">
            <w:pPr>
              <w:rPr>
                <w:rFonts w:cstheme="minorHAnsi"/>
                <w:b/>
                <w:bCs/>
                <w:sz w:val="20"/>
                <w:szCs w:val="20"/>
              </w:rPr>
            </w:pPr>
            <w:r w:rsidRPr="009E1821">
              <w:rPr>
                <w:rFonts w:cstheme="minorHAnsi"/>
                <w:b/>
                <w:bCs/>
                <w:sz w:val="20"/>
                <w:szCs w:val="20"/>
              </w:rPr>
              <w:t xml:space="preserve">First Name </w:t>
            </w:r>
          </w:p>
        </w:tc>
        <w:tc>
          <w:tcPr>
            <w:tcW w:w="3995" w:type="dxa"/>
          </w:tcPr>
          <w:p w14:paraId="4A564D18" w14:textId="77777777" w:rsidR="00072351" w:rsidRPr="009E1821" w:rsidRDefault="00072351" w:rsidP="00110F85">
            <w:pPr>
              <w:rPr>
                <w:rFonts w:cstheme="minorHAnsi"/>
                <w:b/>
                <w:bCs/>
                <w:sz w:val="20"/>
                <w:szCs w:val="20"/>
              </w:rPr>
            </w:pPr>
            <w:r w:rsidRPr="009E1821">
              <w:rPr>
                <w:rFonts w:cstheme="minorHAnsi"/>
                <w:b/>
                <w:bCs/>
                <w:sz w:val="20"/>
                <w:szCs w:val="20"/>
              </w:rPr>
              <w:t>Disclosure(s)</w:t>
            </w:r>
          </w:p>
        </w:tc>
        <w:tc>
          <w:tcPr>
            <w:tcW w:w="2590" w:type="dxa"/>
          </w:tcPr>
          <w:p w14:paraId="6BD8670F" w14:textId="77777777" w:rsidR="00072351" w:rsidRPr="009E1821" w:rsidRDefault="00072351" w:rsidP="00110F85">
            <w:pPr>
              <w:rPr>
                <w:rFonts w:cstheme="minorHAnsi"/>
                <w:b/>
                <w:bCs/>
                <w:sz w:val="20"/>
                <w:szCs w:val="20"/>
              </w:rPr>
            </w:pPr>
            <w:r w:rsidRPr="009E1821">
              <w:rPr>
                <w:rFonts w:cstheme="minorHAnsi"/>
                <w:b/>
                <w:bCs/>
                <w:sz w:val="20"/>
                <w:szCs w:val="20"/>
              </w:rPr>
              <w:t xml:space="preserve">Role </w:t>
            </w:r>
          </w:p>
        </w:tc>
        <w:tc>
          <w:tcPr>
            <w:tcW w:w="2590" w:type="dxa"/>
          </w:tcPr>
          <w:p w14:paraId="67F6A661" w14:textId="77777777" w:rsidR="00072351" w:rsidRPr="009E1821" w:rsidRDefault="00072351" w:rsidP="00110F85">
            <w:pPr>
              <w:rPr>
                <w:rFonts w:cstheme="minorHAnsi"/>
                <w:b/>
                <w:bCs/>
                <w:sz w:val="20"/>
                <w:szCs w:val="20"/>
              </w:rPr>
            </w:pPr>
            <w:r w:rsidRPr="009E1821">
              <w:rPr>
                <w:rFonts w:cstheme="minorHAnsi"/>
                <w:b/>
                <w:bCs/>
                <w:sz w:val="20"/>
                <w:szCs w:val="20"/>
              </w:rPr>
              <w:t xml:space="preserve">Method of Mitigation </w:t>
            </w:r>
          </w:p>
        </w:tc>
      </w:tr>
      <w:tr w:rsidR="00072351" w:rsidRPr="00F265DC" w14:paraId="48A02097" w14:textId="77777777" w:rsidTr="00110F85">
        <w:tc>
          <w:tcPr>
            <w:tcW w:w="2590" w:type="dxa"/>
          </w:tcPr>
          <w:p w14:paraId="3774B4A3" w14:textId="2A8C465F" w:rsidR="00072351" w:rsidRPr="00F439C1" w:rsidRDefault="002F2025" w:rsidP="00110F85">
            <w:pPr>
              <w:rPr>
                <w:rFonts w:cstheme="minorHAnsi"/>
              </w:rPr>
            </w:pPr>
            <w:r w:rsidRPr="00F439C1">
              <w:rPr>
                <w:rFonts w:cstheme="minorHAnsi"/>
              </w:rPr>
              <w:t>Mahmood</w:t>
            </w:r>
          </w:p>
        </w:tc>
        <w:tc>
          <w:tcPr>
            <w:tcW w:w="1185" w:type="dxa"/>
          </w:tcPr>
          <w:p w14:paraId="13429507" w14:textId="0FB08C60" w:rsidR="00072351" w:rsidRPr="00F439C1" w:rsidRDefault="002F2025" w:rsidP="00110F85">
            <w:pPr>
              <w:rPr>
                <w:rFonts w:cstheme="minorHAnsi"/>
              </w:rPr>
            </w:pPr>
            <w:r w:rsidRPr="00F439C1">
              <w:rPr>
                <w:rFonts w:cstheme="minorHAnsi"/>
              </w:rPr>
              <w:t>Feroze</w:t>
            </w:r>
          </w:p>
        </w:tc>
        <w:tc>
          <w:tcPr>
            <w:tcW w:w="3995" w:type="dxa"/>
          </w:tcPr>
          <w:p w14:paraId="7C5BEFC7" w14:textId="0278EA98" w:rsidR="00441F1F" w:rsidRPr="00F439C1" w:rsidRDefault="00441F1F" w:rsidP="00110F85">
            <w:pPr>
              <w:rPr>
                <w:rFonts w:cstheme="minorHAnsi"/>
              </w:rPr>
            </w:pPr>
            <w:r w:rsidRPr="00441F1F">
              <w:rPr>
                <w:rFonts w:cstheme="minorHAnsi"/>
              </w:rPr>
              <w:t>Abbott Structural Heart</w:t>
            </w:r>
            <w:r w:rsidR="00D075A7" w:rsidRPr="00D075A7">
              <w:rPr>
                <w:rFonts w:cstheme="minorHAnsi"/>
              </w:rPr>
              <w:t>: Consulting Fees (Ongoing)|</w:t>
            </w:r>
            <w:r>
              <w:t xml:space="preserve"> </w:t>
            </w:r>
            <w:r w:rsidRPr="00441F1F">
              <w:rPr>
                <w:rFonts w:cstheme="minorHAnsi"/>
              </w:rPr>
              <w:t>GE Healthcare</w:t>
            </w:r>
            <w:r w:rsidR="00D075A7" w:rsidRPr="00D075A7">
              <w:rPr>
                <w:rFonts w:cstheme="minorHAnsi"/>
              </w:rPr>
              <w:t>: Consulting Fees (Ongoing)</w:t>
            </w:r>
            <w:r>
              <w:rPr>
                <w:rFonts w:cstheme="minorHAnsi"/>
              </w:rPr>
              <w:t xml:space="preserve">; </w:t>
            </w:r>
            <w:r w:rsidRPr="00441F1F">
              <w:rPr>
                <w:rFonts w:cstheme="minorHAnsi"/>
              </w:rPr>
              <w:t>Siemens Healthcare Ultrasound Business Unit</w:t>
            </w:r>
            <w:r>
              <w:rPr>
                <w:rFonts w:cstheme="minorHAnsi"/>
              </w:rPr>
              <w:t>: Honoraria</w:t>
            </w:r>
          </w:p>
        </w:tc>
        <w:tc>
          <w:tcPr>
            <w:tcW w:w="2590" w:type="dxa"/>
          </w:tcPr>
          <w:p w14:paraId="6E0A9502" w14:textId="3C99747A" w:rsidR="00072351" w:rsidRPr="00F439C1" w:rsidRDefault="002F2025" w:rsidP="00110F85">
            <w:pPr>
              <w:rPr>
                <w:rFonts w:cstheme="minorHAnsi"/>
              </w:rPr>
            </w:pPr>
            <w:r w:rsidRPr="00F439C1">
              <w:rPr>
                <w:rFonts w:cstheme="minorHAnsi"/>
              </w:rPr>
              <w:t>Faculty/Presenter</w:t>
            </w:r>
          </w:p>
        </w:tc>
        <w:tc>
          <w:tcPr>
            <w:tcW w:w="2590" w:type="dxa"/>
          </w:tcPr>
          <w:p w14:paraId="27036756" w14:textId="696DEE2D" w:rsidR="00072351" w:rsidRPr="00F439C1" w:rsidRDefault="001D2ED5" w:rsidP="00110F85">
            <w:pPr>
              <w:rPr>
                <w:rFonts w:cstheme="minorHAnsi"/>
              </w:rPr>
            </w:pPr>
            <w:r w:rsidRPr="007C33E5">
              <w:rPr>
                <w:rFonts w:ascii="Aptos Narrow" w:eastAsia="Times New Roman" w:hAnsi="Aptos Narrow" w:cs="Times New Roman"/>
                <w:color w:val="000000"/>
              </w:rPr>
              <w:t>No conflict of interest exists. SCA requires all individuals with financial relationships with ACCME defined ineligible companies to comply with ACCME Standards for Commercial Support. SCA has received an attestation from this presenter/planner agreeing to comply. In addition, speaker presentations were reviewed by the CME committee and there were no conflicts identified.</w:t>
            </w:r>
          </w:p>
        </w:tc>
      </w:tr>
    </w:tbl>
    <w:p w14:paraId="1652A183" w14:textId="77777777" w:rsidR="009039ED" w:rsidRPr="00F265DC" w:rsidRDefault="009039ED" w:rsidP="00142DC5">
      <w:pPr>
        <w:pStyle w:val="NoSpacing"/>
        <w:rPr>
          <w:rFonts w:cstheme="minorHAnsi"/>
          <w:color w:val="000000"/>
        </w:rPr>
      </w:pPr>
    </w:p>
    <w:p w14:paraId="364A68A6" w14:textId="6D20413B" w:rsidR="00683332" w:rsidRPr="00F265DC" w:rsidRDefault="00683332" w:rsidP="00683332">
      <w:pPr>
        <w:tabs>
          <w:tab w:val="left" w:pos="6480"/>
        </w:tabs>
        <w:ind w:right="3859"/>
        <w:rPr>
          <w:rFonts w:cstheme="minorHAnsi"/>
          <w:b/>
        </w:rPr>
      </w:pPr>
      <w:r w:rsidRPr="00F265DC">
        <w:rPr>
          <w:rFonts w:cstheme="minorHAnsi"/>
          <w:b/>
        </w:rPr>
        <w:t>How to Get Your CME Certificate</w:t>
      </w:r>
    </w:p>
    <w:p w14:paraId="5F9D70E9" w14:textId="2FC2C70E" w:rsidR="00683332" w:rsidRPr="005E508D" w:rsidRDefault="00683332" w:rsidP="005A6E1C">
      <w:pPr>
        <w:pStyle w:val="ListParagraph"/>
        <w:numPr>
          <w:ilvl w:val="0"/>
          <w:numId w:val="7"/>
        </w:numPr>
        <w:spacing w:after="0" w:line="240" w:lineRule="auto"/>
        <w:rPr>
          <w:rFonts w:cstheme="minorHAnsi"/>
          <w:shd w:val="clear" w:color="auto" w:fill="FFFFFF"/>
        </w:rPr>
      </w:pPr>
      <w:r w:rsidRPr="005E508D">
        <w:rPr>
          <w:rFonts w:cstheme="minorHAnsi"/>
          <w:bCs/>
        </w:rPr>
        <w:t>Go to</w:t>
      </w:r>
      <w:r w:rsidR="0011464D" w:rsidRPr="005E508D">
        <w:rPr>
          <w:rFonts w:cstheme="minorHAnsi"/>
        </w:rPr>
        <w:t xml:space="preserve"> </w:t>
      </w:r>
      <w:hyperlink r:id="rId14" w:history="1">
        <w:r w:rsidR="00C402DD" w:rsidRPr="00C402DD">
          <w:rPr>
            <w:rStyle w:val="Hyperlink"/>
          </w:rPr>
          <w:t>https://www.surveymagnet.com/Magnet3/login.asp?EventKey=PNGTWREI</w:t>
        </w:r>
      </w:hyperlink>
      <w:r w:rsidR="00C402DD" w:rsidRPr="00C402DD">
        <w:t xml:space="preserve"> </w:t>
      </w:r>
      <w:r w:rsidRPr="005E508D">
        <w:rPr>
          <w:rFonts w:cstheme="minorHAnsi"/>
          <w:shd w:val="clear" w:color="auto" w:fill="FFFFFF"/>
        </w:rPr>
        <w:t>(link will become active at the conclusion of the meeting)</w:t>
      </w:r>
    </w:p>
    <w:p w14:paraId="360174DC" w14:textId="77777777" w:rsidR="00683332" w:rsidRPr="0011464D" w:rsidRDefault="00683332" w:rsidP="00683332">
      <w:pPr>
        <w:spacing w:after="0" w:line="240" w:lineRule="auto"/>
        <w:rPr>
          <w:rFonts w:cstheme="minorHAnsi"/>
          <w:noProof/>
        </w:rPr>
      </w:pPr>
      <w:r w:rsidRPr="005E508D">
        <w:rPr>
          <w:rFonts w:cstheme="minorHAnsi"/>
          <w:noProof/>
        </w:rPr>
        <w:t xml:space="preserve">2.    Login and evaluate </w:t>
      </w:r>
      <w:r w:rsidRPr="0011464D">
        <w:rPr>
          <w:rFonts w:cstheme="minorHAnsi"/>
          <w:noProof/>
        </w:rPr>
        <w:t>the meeting.</w:t>
      </w:r>
    </w:p>
    <w:p w14:paraId="70ECEA12" w14:textId="727C5CF6" w:rsidR="00683332" w:rsidRPr="0011464D" w:rsidRDefault="00683332" w:rsidP="00683332">
      <w:pPr>
        <w:spacing w:after="0" w:line="240" w:lineRule="auto"/>
        <w:rPr>
          <w:rFonts w:cstheme="minorHAnsi"/>
        </w:rPr>
      </w:pPr>
      <w:r w:rsidRPr="0011464D">
        <w:rPr>
          <w:rFonts w:cstheme="minorHAnsi"/>
        </w:rPr>
        <w:t xml:space="preserve">3.    Print all pages of your certificate for your records. </w:t>
      </w:r>
    </w:p>
    <w:p w14:paraId="28072C93" w14:textId="3645C9C3" w:rsidR="007D0326" w:rsidRDefault="007D0326" w:rsidP="00683332">
      <w:pPr>
        <w:spacing w:after="0" w:line="240" w:lineRule="auto"/>
        <w:rPr>
          <w:rFonts w:cstheme="minorHAnsi"/>
        </w:rPr>
      </w:pPr>
    </w:p>
    <w:p w14:paraId="2E5A06D2" w14:textId="4EC47CFB" w:rsidR="007D0326" w:rsidRDefault="007D0326" w:rsidP="00683332">
      <w:pPr>
        <w:spacing w:after="0" w:line="240" w:lineRule="auto"/>
        <w:rPr>
          <w:rFonts w:cstheme="minorHAnsi"/>
        </w:rPr>
      </w:pPr>
    </w:p>
    <w:p w14:paraId="62FB8917" w14:textId="66C72460" w:rsidR="007D0326" w:rsidRDefault="007D0326" w:rsidP="00683332">
      <w:pPr>
        <w:spacing w:after="0" w:line="240" w:lineRule="auto"/>
        <w:rPr>
          <w:rFonts w:cstheme="minorHAnsi"/>
        </w:rPr>
      </w:pPr>
    </w:p>
    <w:sectPr w:rsidR="007D0326" w:rsidSect="00E30B66">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E489" w14:textId="77777777" w:rsidR="00F1724C" w:rsidRDefault="00F1724C" w:rsidP="00F1724C">
      <w:pPr>
        <w:spacing w:after="0" w:line="240" w:lineRule="auto"/>
      </w:pPr>
      <w:r>
        <w:separator/>
      </w:r>
    </w:p>
  </w:endnote>
  <w:endnote w:type="continuationSeparator" w:id="0">
    <w:p w14:paraId="7C4E348C" w14:textId="77777777" w:rsidR="00F1724C" w:rsidRDefault="00F1724C" w:rsidP="00F1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Variable Concept">
    <w:altName w:val="Calibri"/>
    <w:charset w:val="00"/>
    <w:family w:val="auto"/>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Acumin Pro Light">
    <w:altName w:val="Calibri"/>
    <w:panose1 w:val="00000000000000000000"/>
    <w:charset w:val="00"/>
    <w:family w:val="swiss"/>
    <w:notTrueType/>
    <w:pitch w:val="default"/>
    <w:sig w:usb0="00000003" w:usb1="00000000" w:usb2="00000000" w:usb3="00000000" w:csb0="00000001" w:csb1="00000000"/>
  </w:font>
  <w:font w:name="Aptos Narrow">
    <w:altName w:val="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CC56" w14:textId="77777777" w:rsidR="00F1724C" w:rsidRDefault="00F1724C" w:rsidP="00F1724C">
      <w:pPr>
        <w:spacing w:after="0" w:line="240" w:lineRule="auto"/>
      </w:pPr>
      <w:r>
        <w:separator/>
      </w:r>
    </w:p>
  </w:footnote>
  <w:footnote w:type="continuationSeparator" w:id="0">
    <w:p w14:paraId="7DEFF31F" w14:textId="77777777" w:rsidR="00F1724C" w:rsidRDefault="00F1724C" w:rsidP="00F1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E878" w14:textId="3A13F6EA" w:rsidR="00F1724C" w:rsidRDefault="00F1724C" w:rsidP="00F1724C">
    <w:pPr>
      <w:pStyle w:val="Header"/>
      <w:jc w:val="center"/>
    </w:pPr>
    <w:r w:rsidRPr="00083402">
      <w:rPr>
        <w:rFonts w:cstheme="minorHAnsi"/>
        <w:b/>
        <w:bCs/>
        <w:noProof/>
      </w:rPr>
      <w:drawing>
        <wp:inline distT="0" distB="0" distL="0" distR="0" wp14:anchorId="2AF44866" wp14:editId="788A3F47">
          <wp:extent cx="1171847" cy="681584"/>
          <wp:effectExtent l="0" t="0" r="0" b="4445"/>
          <wp:docPr id="84582434" name="Picture 1" descr="A logo for a society of cardiovascular disea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2434" name="Picture 1" descr="A logo for a society of cardiovascular diseases&#10;&#10;Description automatically generated"/>
                  <pic:cNvPicPr/>
                </pic:nvPicPr>
                <pic:blipFill>
                  <a:blip r:embed="rId1"/>
                  <a:stretch>
                    <a:fillRect/>
                  </a:stretch>
                </pic:blipFill>
                <pic:spPr>
                  <a:xfrm>
                    <a:off x="0" y="0"/>
                    <a:ext cx="1177818" cy="685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129"/>
    <w:multiLevelType w:val="multilevel"/>
    <w:tmpl w:val="45066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F843D2"/>
    <w:multiLevelType w:val="hybridMultilevel"/>
    <w:tmpl w:val="458A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66FCD"/>
    <w:multiLevelType w:val="hybridMultilevel"/>
    <w:tmpl w:val="8B1C268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9E3448"/>
    <w:multiLevelType w:val="hybridMultilevel"/>
    <w:tmpl w:val="F982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E2C"/>
    <w:multiLevelType w:val="hybridMultilevel"/>
    <w:tmpl w:val="23EE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C37BC"/>
    <w:multiLevelType w:val="hybridMultilevel"/>
    <w:tmpl w:val="BB30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C444C"/>
    <w:multiLevelType w:val="hybridMultilevel"/>
    <w:tmpl w:val="BB8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53EBC"/>
    <w:multiLevelType w:val="hybridMultilevel"/>
    <w:tmpl w:val="C4B29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91278"/>
    <w:multiLevelType w:val="hybridMultilevel"/>
    <w:tmpl w:val="5A06F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416B53"/>
    <w:multiLevelType w:val="hybridMultilevel"/>
    <w:tmpl w:val="34BE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E73CB"/>
    <w:multiLevelType w:val="hybridMultilevel"/>
    <w:tmpl w:val="06D6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50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778626">
    <w:abstractNumId w:val="5"/>
  </w:num>
  <w:num w:numId="3" w16cid:durableId="2043627767">
    <w:abstractNumId w:val="10"/>
  </w:num>
  <w:num w:numId="4" w16cid:durableId="904492387">
    <w:abstractNumId w:val="1"/>
  </w:num>
  <w:num w:numId="5" w16cid:durableId="948049468">
    <w:abstractNumId w:val="4"/>
  </w:num>
  <w:num w:numId="6" w16cid:durableId="1802724557">
    <w:abstractNumId w:val="9"/>
  </w:num>
  <w:num w:numId="7" w16cid:durableId="995916219">
    <w:abstractNumId w:val="2"/>
  </w:num>
  <w:num w:numId="8" w16cid:durableId="1392733820">
    <w:abstractNumId w:val="7"/>
  </w:num>
  <w:num w:numId="9" w16cid:durableId="109714104">
    <w:abstractNumId w:val="3"/>
  </w:num>
  <w:num w:numId="10" w16cid:durableId="437523582">
    <w:abstractNumId w:val="8"/>
  </w:num>
  <w:num w:numId="11" w16cid:durableId="13745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7F"/>
    <w:rsid w:val="0002546E"/>
    <w:rsid w:val="00030483"/>
    <w:rsid w:val="00060884"/>
    <w:rsid w:val="00064FD5"/>
    <w:rsid w:val="00072351"/>
    <w:rsid w:val="000A5FF3"/>
    <w:rsid w:val="000A6936"/>
    <w:rsid w:val="000C108D"/>
    <w:rsid w:val="0011464D"/>
    <w:rsid w:val="00142DC5"/>
    <w:rsid w:val="00164307"/>
    <w:rsid w:val="00164B17"/>
    <w:rsid w:val="00177E32"/>
    <w:rsid w:val="001A08D4"/>
    <w:rsid w:val="001B3767"/>
    <w:rsid w:val="001D2ED5"/>
    <w:rsid w:val="001D613D"/>
    <w:rsid w:val="001F062B"/>
    <w:rsid w:val="001F2D63"/>
    <w:rsid w:val="00206C3B"/>
    <w:rsid w:val="00216443"/>
    <w:rsid w:val="0021716A"/>
    <w:rsid w:val="00222E5C"/>
    <w:rsid w:val="0024705C"/>
    <w:rsid w:val="00252939"/>
    <w:rsid w:val="002667CA"/>
    <w:rsid w:val="00283CC0"/>
    <w:rsid w:val="002F2025"/>
    <w:rsid w:val="00310251"/>
    <w:rsid w:val="00366192"/>
    <w:rsid w:val="00366494"/>
    <w:rsid w:val="00375B58"/>
    <w:rsid w:val="00397DE8"/>
    <w:rsid w:val="003D3696"/>
    <w:rsid w:val="003D43B8"/>
    <w:rsid w:val="003D6B1C"/>
    <w:rsid w:val="003E2DD8"/>
    <w:rsid w:val="00434700"/>
    <w:rsid w:val="00441F1F"/>
    <w:rsid w:val="00461D5B"/>
    <w:rsid w:val="00463B49"/>
    <w:rsid w:val="00472B98"/>
    <w:rsid w:val="00477928"/>
    <w:rsid w:val="00497A4C"/>
    <w:rsid w:val="004C0E90"/>
    <w:rsid w:val="004D7451"/>
    <w:rsid w:val="00525353"/>
    <w:rsid w:val="00552951"/>
    <w:rsid w:val="00570156"/>
    <w:rsid w:val="00583941"/>
    <w:rsid w:val="005A28B2"/>
    <w:rsid w:val="005A3615"/>
    <w:rsid w:val="005A6E1C"/>
    <w:rsid w:val="005E1EE0"/>
    <w:rsid w:val="005E508D"/>
    <w:rsid w:val="00600A19"/>
    <w:rsid w:val="0063242A"/>
    <w:rsid w:val="00644251"/>
    <w:rsid w:val="00654C25"/>
    <w:rsid w:val="00674E85"/>
    <w:rsid w:val="00675561"/>
    <w:rsid w:val="00683332"/>
    <w:rsid w:val="00692773"/>
    <w:rsid w:val="006C42B7"/>
    <w:rsid w:val="006D2B0E"/>
    <w:rsid w:val="006D66B9"/>
    <w:rsid w:val="006F2AAA"/>
    <w:rsid w:val="00781ACF"/>
    <w:rsid w:val="0079527E"/>
    <w:rsid w:val="007D0326"/>
    <w:rsid w:val="00812E7F"/>
    <w:rsid w:val="00813566"/>
    <w:rsid w:val="00831E0C"/>
    <w:rsid w:val="00837811"/>
    <w:rsid w:val="00870B92"/>
    <w:rsid w:val="00870FDC"/>
    <w:rsid w:val="00872A66"/>
    <w:rsid w:val="00895DAB"/>
    <w:rsid w:val="008C4FC7"/>
    <w:rsid w:val="008C5428"/>
    <w:rsid w:val="009039ED"/>
    <w:rsid w:val="009140B7"/>
    <w:rsid w:val="009265C2"/>
    <w:rsid w:val="00974A68"/>
    <w:rsid w:val="00994217"/>
    <w:rsid w:val="0099544C"/>
    <w:rsid w:val="009A1488"/>
    <w:rsid w:val="009B4D73"/>
    <w:rsid w:val="009B57C3"/>
    <w:rsid w:val="009B6920"/>
    <w:rsid w:val="009B7202"/>
    <w:rsid w:val="009E1821"/>
    <w:rsid w:val="009F6461"/>
    <w:rsid w:val="00A16A52"/>
    <w:rsid w:val="00A32D1F"/>
    <w:rsid w:val="00A45F9F"/>
    <w:rsid w:val="00A867AB"/>
    <w:rsid w:val="00A950FC"/>
    <w:rsid w:val="00AA4F76"/>
    <w:rsid w:val="00AB4057"/>
    <w:rsid w:val="00AC20DD"/>
    <w:rsid w:val="00AC32DB"/>
    <w:rsid w:val="00AE66EE"/>
    <w:rsid w:val="00B05EA8"/>
    <w:rsid w:val="00B23BBC"/>
    <w:rsid w:val="00B3218D"/>
    <w:rsid w:val="00B32314"/>
    <w:rsid w:val="00B47B0B"/>
    <w:rsid w:val="00B5097A"/>
    <w:rsid w:val="00B55BAD"/>
    <w:rsid w:val="00B67771"/>
    <w:rsid w:val="00B73F46"/>
    <w:rsid w:val="00BA0DAB"/>
    <w:rsid w:val="00BB5126"/>
    <w:rsid w:val="00BC0C1F"/>
    <w:rsid w:val="00C03985"/>
    <w:rsid w:val="00C05DFF"/>
    <w:rsid w:val="00C1047B"/>
    <w:rsid w:val="00C16245"/>
    <w:rsid w:val="00C1635D"/>
    <w:rsid w:val="00C16D52"/>
    <w:rsid w:val="00C177EA"/>
    <w:rsid w:val="00C402DD"/>
    <w:rsid w:val="00C71182"/>
    <w:rsid w:val="00CB2A7C"/>
    <w:rsid w:val="00CD0F3F"/>
    <w:rsid w:val="00CD12D6"/>
    <w:rsid w:val="00CD50DC"/>
    <w:rsid w:val="00CE2663"/>
    <w:rsid w:val="00D02064"/>
    <w:rsid w:val="00D055A1"/>
    <w:rsid w:val="00D075A7"/>
    <w:rsid w:val="00D20AFF"/>
    <w:rsid w:val="00D64832"/>
    <w:rsid w:val="00D712CD"/>
    <w:rsid w:val="00D90E3E"/>
    <w:rsid w:val="00D90F4C"/>
    <w:rsid w:val="00DA24AC"/>
    <w:rsid w:val="00DC4723"/>
    <w:rsid w:val="00DD6427"/>
    <w:rsid w:val="00DE0D97"/>
    <w:rsid w:val="00E04D85"/>
    <w:rsid w:val="00E27C2A"/>
    <w:rsid w:val="00E30B66"/>
    <w:rsid w:val="00E30C69"/>
    <w:rsid w:val="00E312D1"/>
    <w:rsid w:val="00E54F18"/>
    <w:rsid w:val="00E5632A"/>
    <w:rsid w:val="00E926AA"/>
    <w:rsid w:val="00EA3830"/>
    <w:rsid w:val="00EB316B"/>
    <w:rsid w:val="00EB34F0"/>
    <w:rsid w:val="00EC22A6"/>
    <w:rsid w:val="00EE0E94"/>
    <w:rsid w:val="00F06AD4"/>
    <w:rsid w:val="00F1724C"/>
    <w:rsid w:val="00F265DC"/>
    <w:rsid w:val="00F34171"/>
    <w:rsid w:val="00F439C1"/>
    <w:rsid w:val="00F55AC1"/>
    <w:rsid w:val="00F85DA0"/>
    <w:rsid w:val="00F9490D"/>
    <w:rsid w:val="00FC0600"/>
    <w:rsid w:val="00FC76D0"/>
    <w:rsid w:val="00FD5A5C"/>
    <w:rsid w:val="00FD76DC"/>
    <w:rsid w:val="00FE2733"/>
    <w:rsid w:val="00FE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7DF"/>
  <w15:chartTrackingRefBased/>
  <w15:docId w15:val="{4529A919-CE6B-419F-8535-66A5CC5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E7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12E7F"/>
    <w:rPr>
      <w:sz w:val="16"/>
      <w:szCs w:val="16"/>
    </w:rPr>
  </w:style>
  <w:style w:type="paragraph" w:styleId="CommentText">
    <w:name w:val="annotation text"/>
    <w:basedOn w:val="Normal"/>
    <w:link w:val="CommentTextChar"/>
    <w:uiPriority w:val="99"/>
    <w:unhideWhenUsed/>
    <w:rsid w:val="00812E7F"/>
    <w:pPr>
      <w:spacing w:line="240" w:lineRule="auto"/>
    </w:pPr>
    <w:rPr>
      <w:sz w:val="20"/>
      <w:szCs w:val="20"/>
    </w:rPr>
  </w:style>
  <w:style w:type="character" w:customStyle="1" w:styleId="CommentTextChar">
    <w:name w:val="Comment Text Char"/>
    <w:basedOn w:val="DefaultParagraphFont"/>
    <w:link w:val="CommentText"/>
    <w:uiPriority w:val="99"/>
    <w:rsid w:val="00812E7F"/>
    <w:rPr>
      <w:sz w:val="20"/>
      <w:szCs w:val="20"/>
    </w:rPr>
  </w:style>
  <w:style w:type="paragraph" w:styleId="NoSpacing">
    <w:name w:val="No Spacing"/>
    <w:uiPriority w:val="1"/>
    <w:qFormat/>
    <w:rsid w:val="00812E7F"/>
    <w:pPr>
      <w:spacing w:after="0" w:line="240" w:lineRule="auto"/>
    </w:pPr>
  </w:style>
  <w:style w:type="character" w:styleId="Hyperlink">
    <w:name w:val="Hyperlink"/>
    <w:basedOn w:val="DefaultParagraphFont"/>
    <w:uiPriority w:val="99"/>
    <w:unhideWhenUsed/>
    <w:rsid w:val="00DD6427"/>
    <w:rPr>
      <w:color w:val="0563C1"/>
      <w:u w:val="single"/>
    </w:rPr>
  </w:style>
  <w:style w:type="paragraph" w:customStyle="1" w:styleId="xdefault">
    <w:name w:val="x_default"/>
    <w:basedOn w:val="Normal"/>
    <w:rsid w:val="00DD64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D64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Normal"/>
    <w:uiPriority w:val="99"/>
    <w:rsid w:val="00DD6427"/>
    <w:pPr>
      <w:autoSpaceDE w:val="0"/>
      <w:autoSpaceDN w:val="0"/>
      <w:spacing w:after="0" w:line="241" w:lineRule="atLeast"/>
    </w:pPr>
    <w:rPr>
      <w:rFonts w:ascii="Acumin Variable Concept" w:hAnsi="Acumin Variable Concept" w:cs="Calibri"/>
      <w:sz w:val="24"/>
      <w:szCs w:val="24"/>
    </w:rPr>
  </w:style>
  <w:style w:type="paragraph" w:styleId="Revision">
    <w:name w:val="Revision"/>
    <w:hidden/>
    <w:uiPriority w:val="99"/>
    <w:semiHidden/>
    <w:rsid w:val="00895DAB"/>
    <w:pPr>
      <w:spacing w:after="0" w:line="240" w:lineRule="auto"/>
    </w:pPr>
  </w:style>
  <w:style w:type="character" w:customStyle="1" w:styleId="A22">
    <w:name w:val="A22"/>
    <w:uiPriority w:val="99"/>
    <w:rsid w:val="00570156"/>
    <w:rPr>
      <w:rFonts w:ascii="Lato" w:hAnsi="Lato" w:cs="Lato"/>
      <w:color w:val="205D9F"/>
      <w:sz w:val="21"/>
      <w:szCs w:val="21"/>
      <w:u w:val="single"/>
    </w:rPr>
  </w:style>
  <w:style w:type="paragraph" w:customStyle="1" w:styleId="Pa3">
    <w:name w:val="Pa3"/>
    <w:basedOn w:val="Default"/>
    <w:next w:val="Default"/>
    <w:uiPriority w:val="99"/>
    <w:rsid w:val="00570156"/>
    <w:pPr>
      <w:spacing w:line="241" w:lineRule="atLeast"/>
    </w:pPr>
    <w:rPr>
      <w:rFonts w:ascii="Lato Black" w:hAnsi="Lato Black" w:cstheme="minorBidi"/>
      <w:color w:val="auto"/>
    </w:rPr>
  </w:style>
  <w:style w:type="character" w:customStyle="1" w:styleId="A14">
    <w:name w:val="A14"/>
    <w:uiPriority w:val="99"/>
    <w:rsid w:val="00570156"/>
    <w:rPr>
      <w:rFonts w:cs="Lato Black"/>
      <w:color w:val="871A50"/>
      <w:sz w:val="22"/>
      <w:szCs w:val="22"/>
    </w:rPr>
  </w:style>
  <w:style w:type="character" w:customStyle="1" w:styleId="A21">
    <w:name w:val="A21"/>
    <w:uiPriority w:val="99"/>
    <w:rsid w:val="0024705C"/>
    <w:rPr>
      <w:rFonts w:cs="Lato"/>
      <w:color w:val="221E1F"/>
      <w:sz w:val="21"/>
      <w:szCs w:val="21"/>
    </w:rPr>
  </w:style>
  <w:style w:type="character" w:customStyle="1" w:styleId="A8">
    <w:name w:val="A8"/>
    <w:uiPriority w:val="99"/>
    <w:rsid w:val="00CB2A7C"/>
    <w:rPr>
      <w:rFonts w:cs="Acumin Pro Light"/>
      <w:color w:val="221E1F"/>
      <w:sz w:val="22"/>
      <w:szCs w:val="22"/>
    </w:rPr>
  </w:style>
  <w:style w:type="paragraph" w:styleId="ListParagraph">
    <w:name w:val="List Paragraph"/>
    <w:basedOn w:val="Normal"/>
    <w:uiPriority w:val="34"/>
    <w:qFormat/>
    <w:rsid w:val="005A6E1C"/>
    <w:pPr>
      <w:ind w:left="720"/>
      <w:contextualSpacing/>
    </w:pPr>
  </w:style>
  <w:style w:type="character" w:customStyle="1" w:styleId="apple-converted-space">
    <w:name w:val="apple-converted-space"/>
    <w:basedOn w:val="DefaultParagraphFont"/>
    <w:rsid w:val="009B7202"/>
  </w:style>
  <w:style w:type="character" w:styleId="UnresolvedMention">
    <w:name w:val="Unresolved Mention"/>
    <w:basedOn w:val="DefaultParagraphFont"/>
    <w:uiPriority w:val="99"/>
    <w:semiHidden/>
    <w:unhideWhenUsed/>
    <w:rsid w:val="00B67771"/>
    <w:rPr>
      <w:color w:val="605E5C"/>
      <w:shd w:val="clear" w:color="auto" w:fill="E1DFDD"/>
    </w:rPr>
  </w:style>
  <w:style w:type="table" w:styleId="TableGrid">
    <w:name w:val="Table Grid"/>
    <w:basedOn w:val="TableNormal"/>
    <w:uiPriority w:val="39"/>
    <w:rsid w:val="007D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C71182"/>
  </w:style>
  <w:style w:type="character" w:styleId="FollowedHyperlink">
    <w:name w:val="FollowedHyperlink"/>
    <w:basedOn w:val="DefaultParagraphFont"/>
    <w:uiPriority w:val="99"/>
    <w:semiHidden/>
    <w:unhideWhenUsed/>
    <w:rsid w:val="00C71182"/>
    <w:rPr>
      <w:color w:val="954F72" w:themeColor="followedHyperlink"/>
      <w:u w:val="single"/>
    </w:rPr>
  </w:style>
  <w:style w:type="paragraph" w:customStyle="1" w:styleId="xmsonospacing">
    <w:name w:val="x_msonospacing"/>
    <w:basedOn w:val="Normal"/>
    <w:rsid w:val="00E5632A"/>
    <w:pPr>
      <w:spacing w:before="100" w:beforeAutospacing="1" w:after="100" w:afterAutospacing="1" w:line="240" w:lineRule="auto"/>
    </w:pPr>
    <w:rPr>
      <w:rFonts w:ascii="Times New Roman" w:hAnsi="Times New Roman" w:cs="Times New Roman"/>
      <w:sz w:val="24"/>
      <w:szCs w:val="24"/>
    </w:rPr>
  </w:style>
  <w:style w:type="paragraph" w:customStyle="1" w:styleId="xmsolistparagraph">
    <w:name w:val="x_msolistparagraph"/>
    <w:basedOn w:val="Normal"/>
    <w:rsid w:val="00E5632A"/>
    <w:pPr>
      <w:spacing w:after="0" w:line="240" w:lineRule="auto"/>
      <w:ind w:left="720"/>
    </w:pPr>
    <w:rPr>
      <w:rFonts w:ascii="Calibri" w:hAnsi="Calibri" w:cs="Calibri"/>
      <w:sz w:val="24"/>
      <w:szCs w:val="24"/>
    </w:rPr>
  </w:style>
  <w:style w:type="character" w:customStyle="1" w:styleId="d-ws-pre-wrap">
    <w:name w:val="d-ws-pre-wrap"/>
    <w:basedOn w:val="DefaultParagraphFont"/>
    <w:rsid w:val="0011464D"/>
  </w:style>
  <w:style w:type="paragraph" w:styleId="NormalWeb">
    <w:name w:val="Normal (Web)"/>
    <w:basedOn w:val="Normal"/>
    <w:uiPriority w:val="99"/>
    <w:unhideWhenUsed/>
    <w:rsid w:val="00675561"/>
    <w:pPr>
      <w:spacing w:after="0" w:line="240" w:lineRule="auto"/>
    </w:pPr>
    <w:rPr>
      <w:rFonts w:ascii="Calibri" w:hAnsi="Calibri" w:cs="Calibri"/>
    </w:rPr>
  </w:style>
  <w:style w:type="paragraph" w:styleId="Header">
    <w:name w:val="header"/>
    <w:basedOn w:val="Normal"/>
    <w:link w:val="HeaderChar"/>
    <w:uiPriority w:val="99"/>
    <w:unhideWhenUsed/>
    <w:rsid w:val="00F1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24C"/>
  </w:style>
  <w:style w:type="paragraph" w:styleId="Footer">
    <w:name w:val="footer"/>
    <w:basedOn w:val="Normal"/>
    <w:link w:val="FooterChar"/>
    <w:uiPriority w:val="99"/>
    <w:unhideWhenUsed/>
    <w:rsid w:val="00F1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4375">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96046881">
      <w:bodyDiv w:val="1"/>
      <w:marLeft w:val="0"/>
      <w:marRight w:val="0"/>
      <w:marTop w:val="0"/>
      <w:marBottom w:val="0"/>
      <w:divBdr>
        <w:top w:val="none" w:sz="0" w:space="0" w:color="auto"/>
        <w:left w:val="none" w:sz="0" w:space="0" w:color="auto"/>
        <w:bottom w:val="none" w:sz="0" w:space="0" w:color="auto"/>
        <w:right w:val="none" w:sz="0" w:space="0" w:color="auto"/>
      </w:divBdr>
    </w:div>
    <w:div w:id="324209699">
      <w:bodyDiv w:val="1"/>
      <w:marLeft w:val="0"/>
      <w:marRight w:val="0"/>
      <w:marTop w:val="0"/>
      <w:marBottom w:val="0"/>
      <w:divBdr>
        <w:top w:val="none" w:sz="0" w:space="0" w:color="auto"/>
        <w:left w:val="none" w:sz="0" w:space="0" w:color="auto"/>
        <w:bottom w:val="none" w:sz="0" w:space="0" w:color="auto"/>
        <w:right w:val="none" w:sz="0" w:space="0" w:color="auto"/>
      </w:divBdr>
    </w:div>
    <w:div w:id="404887180">
      <w:bodyDiv w:val="1"/>
      <w:marLeft w:val="0"/>
      <w:marRight w:val="0"/>
      <w:marTop w:val="0"/>
      <w:marBottom w:val="0"/>
      <w:divBdr>
        <w:top w:val="none" w:sz="0" w:space="0" w:color="auto"/>
        <w:left w:val="none" w:sz="0" w:space="0" w:color="auto"/>
        <w:bottom w:val="none" w:sz="0" w:space="0" w:color="auto"/>
        <w:right w:val="none" w:sz="0" w:space="0" w:color="auto"/>
      </w:divBdr>
    </w:div>
    <w:div w:id="606355732">
      <w:bodyDiv w:val="1"/>
      <w:marLeft w:val="0"/>
      <w:marRight w:val="0"/>
      <w:marTop w:val="0"/>
      <w:marBottom w:val="0"/>
      <w:divBdr>
        <w:top w:val="none" w:sz="0" w:space="0" w:color="auto"/>
        <w:left w:val="none" w:sz="0" w:space="0" w:color="auto"/>
        <w:bottom w:val="none" w:sz="0" w:space="0" w:color="auto"/>
        <w:right w:val="none" w:sz="0" w:space="0" w:color="auto"/>
      </w:divBdr>
    </w:div>
    <w:div w:id="751119390">
      <w:bodyDiv w:val="1"/>
      <w:marLeft w:val="0"/>
      <w:marRight w:val="0"/>
      <w:marTop w:val="0"/>
      <w:marBottom w:val="0"/>
      <w:divBdr>
        <w:top w:val="none" w:sz="0" w:space="0" w:color="auto"/>
        <w:left w:val="none" w:sz="0" w:space="0" w:color="auto"/>
        <w:bottom w:val="none" w:sz="0" w:space="0" w:color="auto"/>
        <w:right w:val="none" w:sz="0" w:space="0" w:color="auto"/>
      </w:divBdr>
    </w:div>
    <w:div w:id="1062485604">
      <w:bodyDiv w:val="1"/>
      <w:marLeft w:val="0"/>
      <w:marRight w:val="0"/>
      <w:marTop w:val="0"/>
      <w:marBottom w:val="0"/>
      <w:divBdr>
        <w:top w:val="none" w:sz="0" w:space="0" w:color="auto"/>
        <w:left w:val="none" w:sz="0" w:space="0" w:color="auto"/>
        <w:bottom w:val="none" w:sz="0" w:space="0" w:color="auto"/>
        <w:right w:val="none" w:sz="0" w:space="0" w:color="auto"/>
      </w:divBdr>
    </w:div>
    <w:div w:id="1145463424">
      <w:bodyDiv w:val="1"/>
      <w:marLeft w:val="0"/>
      <w:marRight w:val="0"/>
      <w:marTop w:val="0"/>
      <w:marBottom w:val="0"/>
      <w:divBdr>
        <w:top w:val="none" w:sz="0" w:space="0" w:color="auto"/>
        <w:left w:val="none" w:sz="0" w:space="0" w:color="auto"/>
        <w:bottom w:val="none" w:sz="0" w:space="0" w:color="auto"/>
        <w:right w:val="none" w:sz="0" w:space="0" w:color="auto"/>
      </w:divBdr>
    </w:div>
    <w:div w:id="1363556779">
      <w:bodyDiv w:val="1"/>
      <w:marLeft w:val="0"/>
      <w:marRight w:val="0"/>
      <w:marTop w:val="0"/>
      <w:marBottom w:val="0"/>
      <w:divBdr>
        <w:top w:val="none" w:sz="0" w:space="0" w:color="auto"/>
        <w:left w:val="none" w:sz="0" w:space="0" w:color="auto"/>
        <w:bottom w:val="none" w:sz="0" w:space="0" w:color="auto"/>
        <w:right w:val="none" w:sz="0" w:space="0" w:color="auto"/>
      </w:divBdr>
    </w:div>
    <w:div w:id="1667435327">
      <w:bodyDiv w:val="1"/>
      <w:marLeft w:val="0"/>
      <w:marRight w:val="0"/>
      <w:marTop w:val="0"/>
      <w:marBottom w:val="0"/>
      <w:divBdr>
        <w:top w:val="none" w:sz="0" w:space="0" w:color="auto"/>
        <w:left w:val="none" w:sz="0" w:space="0" w:color="auto"/>
        <w:bottom w:val="none" w:sz="0" w:space="0" w:color="auto"/>
        <w:right w:val="none" w:sz="0" w:space="0" w:color="auto"/>
      </w:divBdr>
    </w:div>
    <w:div w:id="1788501927">
      <w:bodyDiv w:val="1"/>
      <w:marLeft w:val="0"/>
      <w:marRight w:val="0"/>
      <w:marTop w:val="0"/>
      <w:marBottom w:val="0"/>
      <w:divBdr>
        <w:top w:val="none" w:sz="0" w:space="0" w:color="auto"/>
        <w:left w:val="none" w:sz="0" w:space="0" w:color="auto"/>
        <w:bottom w:val="none" w:sz="0" w:space="0" w:color="auto"/>
        <w:right w:val="none" w:sz="0" w:space="0" w:color="auto"/>
      </w:divBdr>
    </w:div>
    <w:div w:id="1938369047">
      <w:bodyDiv w:val="1"/>
      <w:marLeft w:val="0"/>
      <w:marRight w:val="0"/>
      <w:marTop w:val="0"/>
      <w:marBottom w:val="0"/>
      <w:divBdr>
        <w:top w:val="none" w:sz="0" w:space="0" w:color="auto"/>
        <w:left w:val="none" w:sz="0" w:space="0" w:color="auto"/>
        <w:bottom w:val="none" w:sz="0" w:space="0" w:color="auto"/>
        <w:right w:val="none" w:sz="0" w:space="0" w:color="auto"/>
      </w:divBdr>
    </w:div>
    <w:div w:id="1970240238">
      <w:bodyDiv w:val="1"/>
      <w:marLeft w:val="0"/>
      <w:marRight w:val="0"/>
      <w:marTop w:val="0"/>
      <w:marBottom w:val="0"/>
      <w:divBdr>
        <w:top w:val="none" w:sz="0" w:space="0" w:color="auto"/>
        <w:left w:val="none" w:sz="0" w:space="0" w:color="auto"/>
        <w:bottom w:val="none" w:sz="0" w:space="0" w:color="auto"/>
        <w:right w:val="none" w:sz="0" w:space="0" w:color="auto"/>
      </w:divBdr>
    </w:div>
    <w:div w:id="20075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me.org/sites/default/files/2022-06/884_20220623_Standards%20for%20Integrity%20and%20Independence%20in%20Accredited%20Continuing%20Educa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baus@veritasam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surveymagnet.com%2FMagnet3%2Flogin.asp%3FEventKey%3DPNGTWREI&amp;data=05%7C02%7Cncranston%40veritasamc.com%7C56ce5330b10d40e204e608dd96e35028%7Ca4b64a6b52d34815aa06bf8de66ded88%7C0%7C0%7C638832625223188208%7CUnknown%7CTWFpbGZsb3d8eyJFbXB0eU1hcGkiOnRydWUsIlYiOiIwLjAuMDAwMCIsIlAiOiJXaW4zMiIsIkFOIjoiTWFpbCIsIldUIjoyfQ%3D%3D%7C0%7C%7C%7C&amp;sdata=8%2BYq6tzXH%2BrupBazWgF%2ByVpI%2BrKBFDd7mzC08MlREz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3F7E53882F44DAAC752BC6A789EA0" ma:contentTypeVersion="21" ma:contentTypeDescription="Create a new document." ma:contentTypeScope="" ma:versionID="1e274b6841053c202ff061c3bdd39bd0">
  <xsd:schema xmlns:xsd="http://www.w3.org/2001/XMLSchema" xmlns:xs="http://www.w3.org/2001/XMLSchema" xmlns:p="http://schemas.microsoft.com/office/2006/metadata/properties" xmlns:ns1="http://schemas.microsoft.com/sharepoint/v3" xmlns:ns2="aa03cc6f-dd9f-4f8f-a22b-a6ada83b1f42" xmlns:ns3="8abb83ac-9ede-4336-b906-43098fa69765" targetNamespace="http://schemas.microsoft.com/office/2006/metadata/properties" ma:root="true" ma:fieldsID="6fef81dd17c367c18a4ccc93b07b1f53" ns1:_="" ns2:_="" ns3:_="">
    <xsd:import namespace="http://schemas.microsoft.com/sharepoint/v3"/>
    <xsd:import namespace="aa03cc6f-dd9f-4f8f-a22b-a6ada83b1f42"/>
    <xsd:import namespace="8abb83ac-9ede-4336-b906-43098fa69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cc6f-dd9f-4f8f-a22b-a6ada83b1f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3b5a478-486f-42d6-98b7-63885bfe2aa0}" ma:internalName="TaxCatchAll" ma:showField="CatchAllData" ma:web="aa03cc6f-dd9f-4f8f-a22b-a6ada83b1f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b83ac-9ede-4336-b906-43098fa69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1ac851-dc5f-4a1c-961d-08a746d4b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a03cc6f-dd9f-4f8f-a22b-a6ada83b1f42" xsi:nil="true"/>
    <_ip_UnifiedCompliancePolicyProperties xmlns="http://schemas.microsoft.com/sharepoint/v3" xsi:nil="true"/>
    <lcf76f155ced4ddcb4097134ff3c332f xmlns="8abb83ac-9ede-4336-b906-43098fa697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80E75-A61B-43D6-B1C4-5C3D3EA2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cc6f-dd9f-4f8f-a22b-a6ada83b1f42"/>
    <ds:schemaRef ds:uri="8abb83ac-9ede-4336-b906-43098fa6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B944D-BD2E-4904-B601-B085616A67EA}">
  <ds:schemaRefs>
    <ds:schemaRef ds:uri="http://schemas.openxmlformats.org/officeDocument/2006/bibliography"/>
  </ds:schemaRefs>
</ds:datastoreItem>
</file>

<file path=customXml/itemProps3.xml><?xml version="1.0" encoding="utf-8"?>
<ds:datastoreItem xmlns:ds="http://schemas.openxmlformats.org/officeDocument/2006/customXml" ds:itemID="{6F24838D-4171-49AB-BCA3-CB45C6218944}">
  <ds:schemaRefs>
    <ds:schemaRef ds:uri="http://schemas.microsoft.com/office/2006/metadata/properties"/>
    <ds:schemaRef ds:uri="http://schemas.microsoft.com/office/infopath/2007/PartnerControls"/>
    <ds:schemaRef ds:uri="http://schemas.microsoft.com/sharepoint/v3"/>
    <ds:schemaRef ds:uri="aa03cc6f-dd9f-4f8f-a22b-a6ada83b1f42"/>
    <ds:schemaRef ds:uri="8abb83ac-9ede-4336-b906-43098fa69765"/>
  </ds:schemaRefs>
</ds:datastoreItem>
</file>

<file path=customXml/itemProps4.xml><?xml version="1.0" encoding="utf-8"?>
<ds:datastoreItem xmlns:ds="http://schemas.openxmlformats.org/officeDocument/2006/customXml" ds:itemID="{CB42E9EA-48AE-4D49-9C3E-F845CF2A3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Cranston</dc:creator>
  <cp:keywords/>
  <dc:description/>
  <cp:lastModifiedBy>Nicole Cranston</cp:lastModifiedBy>
  <cp:revision>23</cp:revision>
  <dcterms:created xsi:type="dcterms:W3CDTF">2023-06-02T16:43:00Z</dcterms:created>
  <dcterms:modified xsi:type="dcterms:W3CDTF">2025-05-19T18:16:00Z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0x0101004E43F7E53882F44DAAC752BC6A789EA0</vt:lpwstr>
  </property>
  <property fmtid="{D5CDD505-2E9C-101B-9397-08002B2CF9AE}" pid="3" name="MediaServiceImageTags">
    <vt:lpwstr/>
  </property>
</Properties>
</file>